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739A37" w14:textId="6056A57B" w:rsidR="006163E7" w:rsidRDefault="00DC6DFE" w:rsidP="00DC6DFE">
      <w:pPr>
        <w:pStyle w:val="Teksttreci20"/>
        <w:spacing w:before="120" w:after="120" w:line="276" w:lineRule="auto"/>
      </w:pPr>
      <w:r>
        <w:t>PRZEWODNIK DO PRZYGOTOWANIA MONOGRAFII DOTYCZĄCYCH PROCESU WYTWARZANIA PRODUKTÓW PASZOWYCH</w:t>
      </w:r>
      <w:r>
        <w:br w:type="page"/>
      </w:r>
    </w:p>
    <w:p w14:paraId="07F02206" w14:textId="77777777" w:rsidR="006163E7" w:rsidRDefault="00DC6DFE" w:rsidP="00DC6DFE">
      <w:pPr>
        <w:pStyle w:val="Nagwek30"/>
        <w:keepNext/>
        <w:keepLines/>
        <w:spacing w:before="120" w:after="120" w:line="276" w:lineRule="auto"/>
      </w:pPr>
      <w:r>
        <w:lastRenderedPageBreak/>
        <w:t>WSTĘP</w:t>
      </w:r>
    </w:p>
    <w:p w14:paraId="22560531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t>W celu ochrony, utrzymania i poprawy zdrowia zwierząt w kraju, importowane produkty przeznaczone do spożycia przez zwierzęta (mieszanki paszowe pełnoporcjowe, suplementy i dodatki paszowe), w dowolnej formie lub postaci, przed wjazdem do kraju, muszą zostać ocenione przez Urząd ds. Rolnictwa i Hodowli Zwierząt [SAG] poprzez przegląd monografii procesu produkcyjnego w celu zweryfikowania zgodności z obowiązującymi przepisami krajowymi.</w:t>
      </w:r>
    </w:p>
    <w:p w14:paraId="5911E771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rPr>
          <w:b/>
          <w:i/>
        </w:rPr>
        <w:t xml:space="preserve">Każdy importer paszy dla zwierząt musi powiadomić Urząd o rozpoczęciu działalności zgodnie z art. 7 rozporządzenia w sprawie pasz dla zwierząt. Zgłoszenia można dokonać za pośrednictwem platformy internetowej SAG </w:t>
      </w:r>
      <w:hyperlink r:id="rId8" w:history="1">
        <w:r>
          <w:rPr>
            <w:b/>
            <w:i/>
            <w:color w:val="0462C1"/>
            <w:u w:val="single"/>
          </w:rPr>
          <w:t>https://cerofilas.sag.gob.cl/</w:t>
        </w:r>
        <w:r>
          <w:rPr>
            <w:b/>
            <w:i/>
            <w:color w:val="0462C1"/>
          </w:rPr>
          <w:t xml:space="preserve"> </w:t>
        </w:r>
        <w:r>
          <w:rPr>
            <w:b/>
            <w:i/>
          </w:rPr>
          <w:t>lub</w:t>
        </w:r>
      </w:hyperlink>
      <w:r>
        <w:rPr>
          <w:b/>
          <w:i/>
        </w:rPr>
        <w:t xml:space="preserve"> osobiście w biurze SAG właściwym dla siedziby użytkownika.</w:t>
      </w:r>
    </w:p>
    <w:p w14:paraId="1EE8AE33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t>Wszystkie informacje należy przekazać w języku hiszpańskim, angielskim lub portugalskim, lub oryginały w innym języku z uwierzytelnionym tłumaczeniem na język hiszpański lub angielski (angielski braku wersji w języku hiszpańskim).</w:t>
      </w:r>
    </w:p>
    <w:p w14:paraId="5F6F8D54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t xml:space="preserve">Zainteresowana strona musi uiścić opłatę w wysokości </w:t>
      </w:r>
      <w:r>
        <w:rPr>
          <w:b/>
        </w:rPr>
        <w:t xml:space="preserve">5 UTM + VAT </w:t>
      </w:r>
      <w:r>
        <w:t>za każdy zgłaszany produkt lub linię technologiczną w przypadku żywności dla gatunków nieprzeznaczonych do produkcji żywności, zgodnie z postanowieniami zarządzenia zwolnionego z obowiązku publikacji nr 7113/2016.</w:t>
      </w:r>
    </w:p>
    <w:p w14:paraId="558DAF33" w14:textId="32EBC90F" w:rsidR="006163E7" w:rsidRDefault="00DC6DFE" w:rsidP="00DC6DFE">
      <w:pPr>
        <w:pStyle w:val="Nagwek10"/>
        <w:keepNext/>
        <w:keepLines/>
        <w:spacing w:before="120" w:line="276" w:lineRule="auto"/>
        <w:ind w:firstLine="0"/>
      </w:pPr>
      <w:r>
        <w:t>ważne</w:t>
      </w:r>
    </w:p>
    <w:p w14:paraId="536FF7CB" w14:textId="2BA66A9B" w:rsidR="006163E7" w:rsidRDefault="00DC6DFE" w:rsidP="00DC6DFE">
      <w:pPr>
        <w:pStyle w:val="Teksttreci0"/>
        <w:numPr>
          <w:ilvl w:val="0"/>
          <w:numId w:val="1"/>
        </w:numPr>
        <w:spacing w:before="120" w:after="120" w:line="276" w:lineRule="auto"/>
        <w:ind w:left="567" w:hanging="567"/>
      </w:pPr>
      <w:r>
        <w:t>Wnioski o dopuszczenie dotyczące składników pochodzenia zwierzęcego (oleje, mączki, produkty krwiopochodne), z wyjątkiem tych pochodzących od przeżuwaczy, składa się drogą mailową</w:t>
      </w:r>
      <w:hyperlink r:id="rId9" w:history="1">
        <w:r>
          <w:t xml:space="preserve"> </w:t>
        </w:r>
        <w:r>
          <w:rPr>
            <w:color w:val="0000FF"/>
            <w:u w:val="single"/>
          </w:rPr>
          <w:t>na formularzu wniosku o dopuszczenie.</w:t>
        </w:r>
      </w:hyperlink>
    </w:p>
    <w:p w14:paraId="5E00CDC5" w14:textId="2EF86C60" w:rsidR="006163E7" w:rsidRDefault="00DC6DFE" w:rsidP="00DC6DFE">
      <w:pPr>
        <w:pStyle w:val="Teksttreci0"/>
        <w:numPr>
          <w:ilvl w:val="0"/>
          <w:numId w:val="1"/>
        </w:numPr>
        <w:spacing w:before="120" w:after="120" w:line="276" w:lineRule="auto"/>
        <w:ind w:left="567" w:hanging="567"/>
      </w:pPr>
      <w:r>
        <w:t>Z obowiązku przedstawienia monografii zwolnione są wszystkie dodatki oraz składniki pochodzenia roślinnego i mineralnego w stanie czystym, to znaczy takie, które nie są wymieszane z innymi dodatkami lub składnikami.</w:t>
      </w:r>
    </w:p>
    <w:p w14:paraId="20DC0E2F" w14:textId="0B625B58" w:rsidR="006163E7" w:rsidRDefault="00DC6DFE" w:rsidP="00DC6DFE">
      <w:pPr>
        <w:pStyle w:val="Teksttreci0"/>
        <w:numPr>
          <w:ilvl w:val="0"/>
          <w:numId w:val="1"/>
        </w:numPr>
        <w:spacing w:before="120" w:after="120" w:line="276" w:lineRule="auto"/>
        <w:ind w:left="567" w:hanging="567"/>
      </w:pPr>
      <w:r>
        <w:t>Można zapytać drogą mailową o konieczność przeprowadzenia oceny monografii w przypadku dodatków lub składników</w:t>
      </w:r>
    </w:p>
    <w:p w14:paraId="3518D6E0" w14:textId="575708D9" w:rsidR="006163E7" w:rsidRDefault="00DC6DFE" w:rsidP="00DC6DFE">
      <w:pPr>
        <w:pStyle w:val="Teksttreci0"/>
        <w:numPr>
          <w:ilvl w:val="0"/>
          <w:numId w:val="1"/>
        </w:numPr>
        <w:spacing w:before="120" w:after="120" w:line="276" w:lineRule="auto"/>
        <w:ind w:left="567" w:hanging="567"/>
      </w:pPr>
      <w:r>
        <w:t>E-mail:</w:t>
      </w:r>
      <w:hyperlink r:id="rId10" w:history="1">
        <w:r>
          <w:t xml:space="preserve"> </w:t>
        </w:r>
        <w:r>
          <w:rPr>
            <w:color w:val="0000FF"/>
            <w:u w:val="single"/>
          </w:rPr>
          <w:t>alimentosanimales@sag.gob.cl</w:t>
        </w:r>
      </w:hyperlink>
    </w:p>
    <w:p w14:paraId="14F812E3" w14:textId="711837CE" w:rsidR="006163E7" w:rsidRDefault="00DC6DFE" w:rsidP="00DC6DFE">
      <w:pPr>
        <w:pStyle w:val="Teksttreci30"/>
        <w:spacing w:before="120" w:after="120" w:line="276" w:lineRule="auto"/>
      </w:pPr>
      <w:r>
        <w:br w:type="page"/>
      </w:r>
    </w:p>
    <w:p w14:paraId="0BF95B32" w14:textId="77777777" w:rsidR="006163E7" w:rsidRDefault="00DC6DFE" w:rsidP="00DC6DFE">
      <w:pPr>
        <w:pStyle w:val="Nagwek30"/>
        <w:keepNext/>
        <w:keepLines/>
        <w:spacing w:before="120" w:after="120" w:line="276" w:lineRule="auto"/>
        <w:jc w:val="left"/>
      </w:pPr>
      <w:r>
        <w:lastRenderedPageBreak/>
        <w:t>Do celów niniejszego dokumentu stosuje się następujące definicje:</w:t>
      </w:r>
    </w:p>
    <w:p w14:paraId="782C40A3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rPr>
          <w:b/>
          <w:bCs/>
        </w:rPr>
        <w:t>GATUNKI PRZEZNACZONE DO UBOJU</w:t>
      </w:r>
      <w:r>
        <w:t xml:space="preserve"> - gatunki, z których pozyskuje się produkty pochodzenia zwierzęcego przeznaczone do spożycia przez ludzi, tj. przeżuwacze, trzoda chlewna, drób (mięsny lub nieśny), króliki mięsne, konie, pszczoły, gatunki wodne przeznaczone do konsumpcji oraz inne.</w:t>
      </w:r>
    </w:p>
    <w:p w14:paraId="54B8A540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rPr>
          <w:b/>
          <w:bCs/>
        </w:rPr>
        <w:t>GATUNKI NIEPRZEZNACZONE DO PRODUKCJI ŻYWNOŚCI</w:t>
      </w:r>
      <w:r>
        <w:t xml:space="preserve"> - gatunki nieprzeznaczone do spożycia przez ludzi, tj. psy, koty, ryby i ptaki ozdobne, gatunki egzotyczne i zwierzęta z ogrodów zoologicznych.</w:t>
      </w:r>
    </w:p>
    <w:p w14:paraId="4AA861CA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rPr>
          <w:b/>
        </w:rPr>
        <w:t>MONOGRAFIA PROCESU PRODUKCYJNEGO</w:t>
      </w:r>
      <w:r>
        <w:t xml:space="preserve"> Jest to dokument techniczny sporządzony przez producenta lub osobę odpowiedzialną za zakład produkcyjny i potwierdzony lub przedstawiony przez właściwy organ sanitarny kraju pochodzenia, w którym opisano proces przemysłowego wytwarzania produktu paszowego.</w:t>
      </w:r>
    </w:p>
    <w:p w14:paraId="38BC5E8C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t>Monografia powinna zawierać:</w:t>
      </w:r>
    </w:p>
    <w:p w14:paraId="2D83E45F" w14:textId="57151C5F" w:rsidR="006163E7" w:rsidRDefault="00DC6DFE" w:rsidP="00DC6DFE">
      <w:pPr>
        <w:pStyle w:val="Teksttreci0"/>
        <w:numPr>
          <w:ilvl w:val="0"/>
          <w:numId w:val="1"/>
        </w:numPr>
        <w:spacing w:before="120" w:after="120" w:line="276" w:lineRule="auto"/>
        <w:ind w:left="567" w:hanging="567"/>
      </w:pPr>
      <w:r>
        <w:t>Surowce Wskazanie pełnej listy składników i dodatków zastosowanych w produkcie oraz ich ewentualnych zamienników.</w:t>
      </w:r>
    </w:p>
    <w:p w14:paraId="37DCDD3D" w14:textId="51439613" w:rsidR="006163E7" w:rsidRDefault="00DC6DFE" w:rsidP="00DC6DFE">
      <w:pPr>
        <w:pStyle w:val="Teksttreci0"/>
        <w:numPr>
          <w:ilvl w:val="0"/>
          <w:numId w:val="1"/>
        </w:numPr>
        <w:spacing w:before="120" w:after="120" w:line="276" w:lineRule="auto"/>
        <w:ind w:left="567" w:hanging="567"/>
      </w:pPr>
      <w:r>
        <w:t>Produkty zawierające składniki pochodzenia zwierzęcego muszą identyfikować firmy dostawcze (nazwa i kraj), a także numer lub kod urzędowy nadany im przez właściwy organ sanitarny kraju pochodzenia, jeśli dotyczy.</w:t>
      </w:r>
    </w:p>
    <w:p w14:paraId="2F204700" w14:textId="643FA1DD" w:rsidR="006163E7" w:rsidRDefault="00DC6DFE" w:rsidP="00DC6DFE">
      <w:pPr>
        <w:pStyle w:val="Teksttreci0"/>
        <w:numPr>
          <w:ilvl w:val="0"/>
          <w:numId w:val="1"/>
        </w:numPr>
        <w:spacing w:before="120" w:after="120" w:line="276" w:lineRule="auto"/>
        <w:ind w:left="567" w:hanging="567"/>
      </w:pPr>
      <w:r>
        <w:t>Charakterystyka surowców: gatunek, tkanka lub narząd, z którego zostały pozyskane, albo inne informacje wymagane przez Urząd, w zależności od przypadku.</w:t>
      </w:r>
    </w:p>
    <w:p w14:paraId="04509CAD" w14:textId="1E7DC63F" w:rsidR="006163E7" w:rsidRDefault="00DC6DFE" w:rsidP="00DC6DFE">
      <w:pPr>
        <w:pStyle w:val="Teksttreci0"/>
        <w:numPr>
          <w:ilvl w:val="0"/>
          <w:numId w:val="1"/>
        </w:numPr>
        <w:spacing w:before="120" w:after="120" w:line="276" w:lineRule="auto"/>
        <w:ind w:left="567" w:hanging="567"/>
      </w:pPr>
      <w:r>
        <w:t>Schemat procesu produkcyjnego - opis etapów i procedur stosowanych w uzyskaniu produktu gotowego lub linii procesu, zgodnie z właściwym przypadkiem.</w:t>
      </w:r>
    </w:p>
    <w:p w14:paraId="23974BE0" w14:textId="4177CAF1" w:rsidR="006163E7" w:rsidRDefault="00DC6DFE" w:rsidP="00DC6DFE">
      <w:pPr>
        <w:pStyle w:val="Teksttreci0"/>
        <w:numPr>
          <w:ilvl w:val="0"/>
          <w:numId w:val="1"/>
        </w:numPr>
        <w:spacing w:before="120" w:after="120" w:line="276" w:lineRule="auto"/>
        <w:ind w:left="567" w:hanging="567"/>
      </w:pPr>
      <w:r>
        <w:t>Postać fizyczna produktu gotowego - wskazać następujące informacje:</w:t>
      </w:r>
    </w:p>
    <w:p w14:paraId="7E469E99" w14:textId="10647CA8" w:rsidR="006163E7" w:rsidRDefault="00DC6DFE" w:rsidP="00DC6DFE">
      <w:pPr>
        <w:pStyle w:val="Teksttreci0"/>
        <w:numPr>
          <w:ilvl w:val="0"/>
          <w:numId w:val="3"/>
        </w:numPr>
        <w:spacing w:before="120" w:after="120" w:line="276" w:lineRule="auto"/>
        <w:ind w:left="993" w:hanging="426"/>
      </w:pPr>
      <w:r>
        <w:t>Gwarantowana analiza chemiczna lub inne parametry uznane przez Urząd za konieczne.</w:t>
      </w:r>
    </w:p>
    <w:p w14:paraId="763F45B2" w14:textId="2A0143FC" w:rsidR="006163E7" w:rsidRDefault="00DC6DFE" w:rsidP="00DC6DFE">
      <w:pPr>
        <w:pStyle w:val="Teksttreci0"/>
        <w:numPr>
          <w:ilvl w:val="0"/>
          <w:numId w:val="3"/>
        </w:numPr>
        <w:spacing w:before="120" w:after="120" w:line="276" w:lineRule="auto"/>
        <w:ind w:left="993" w:hanging="426"/>
      </w:pPr>
      <w:r>
        <w:t>Warunki przechowywania.</w:t>
      </w:r>
    </w:p>
    <w:p w14:paraId="7461B014" w14:textId="65B751D8" w:rsidR="006163E7" w:rsidRDefault="00DC6DFE" w:rsidP="00DC6DFE">
      <w:pPr>
        <w:pStyle w:val="Teksttreci0"/>
        <w:numPr>
          <w:ilvl w:val="0"/>
          <w:numId w:val="3"/>
        </w:numPr>
        <w:spacing w:before="120" w:after="120" w:line="276" w:lineRule="auto"/>
        <w:ind w:left="993" w:hanging="426"/>
      </w:pPr>
      <w:r>
        <w:t>Okres trwałości produktu(ów), zgodnie z przedstawionymi informacjami.</w:t>
      </w:r>
    </w:p>
    <w:p w14:paraId="62ACD730" w14:textId="54664FCD" w:rsidR="006163E7" w:rsidRDefault="00DC6DFE" w:rsidP="00DC6DFE">
      <w:pPr>
        <w:pStyle w:val="Teksttreci0"/>
        <w:numPr>
          <w:ilvl w:val="0"/>
          <w:numId w:val="3"/>
        </w:numPr>
        <w:tabs>
          <w:tab w:val="left" w:pos="1222"/>
        </w:tabs>
        <w:spacing w:before="120" w:after="120" w:line="276" w:lineRule="auto"/>
        <w:ind w:left="993" w:hanging="426"/>
      </w:pPr>
      <w:r>
        <w:t>Wskazania dotyczące stosowania.</w:t>
      </w:r>
    </w:p>
    <w:p w14:paraId="1BC84A3F" w14:textId="2F795D26" w:rsidR="006163E7" w:rsidRDefault="00DC6DFE" w:rsidP="00DC6DFE">
      <w:pPr>
        <w:pStyle w:val="Teksttreci0"/>
        <w:numPr>
          <w:ilvl w:val="0"/>
          <w:numId w:val="3"/>
        </w:numPr>
        <w:tabs>
          <w:tab w:val="left" w:pos="1222"/>
        </w:tabs>
        <w:spacing w:before="120" w:after="120" w:line="276" w:lineRule="auto"/>
        <w:ind w:left="993" w:hanging="426"/>
      </w:pPr>
      <w:r>
        <w:t>Środki ostrożności i ostrzeżenia, jeśli mają zastosowanie.</w:t>
      </w:r>
    </w:p>
    <w:p w14:paraId="6DD50563" w14:textId="739119F5" w:rsidR="006163E7" w:rsidRDefault="00DC6DFE" w:rsidP="00DC6DFE">
      <w:pPr>
        <w:pStyle w:val="Teksttreci0"/>
        <w:numPr>
          <w:ilvl w:val="0"/>
          <w:numId w:val="3"/>
        </w:numPr>
        <w:spacing w:before="120" w:after="120" w:line="276" w:lineRule="auto"/>
        <w:ind w:left="993" w:hanging="426"/>
      </w:pPr>
      <w:r>
        <w:t>Rodzaj postaci handlowej (charakterystyka opakowania i objętość netto).</w:t>
      </w:r>
    </w:p>
    <w:p w14:paraId="203C9124" w14:textId="5E48BAAD" w:rsidR="006163E7" w:rsidRDefault="00DC6DFE" w:rsidP="00DC6DFE">
      <w:pPr>
        <w:pStyle w:val="Teksttreci0"/>
        <w:numPr>
          <w:ilvl w:val="0"/>
          <w:numId w:val="3"/>
        </w:numPr>
        <w:spacing w:before="120" w:after="120" w:line="276" w:lineRule="auto"/>
        <w:ind w:left="993" w:hanging="426"/>
        <w:jc w:val="both"/>
      </w:pPr>
      <w:r>
        <w:t>Warunki i procedury czyszczenia środków transportu - w przypadku suplementów opartych na mieszankach składników pochodzenia roślinnego, z dodatkami lub bez, dopuszczonych do transportu i wwozu luzem.</w:t>
      </w:r>
    </w:p>
    <w:p w14:paraId="4E98D464" w14:textId="1A8D1885" w:rsidR="006163E7" w:rsidRDefault="00DC6DFE" w:rsidP="00DC6DFE">
      <w:pPr>
        <w:pStyle w:val="Teksttreci0"/>
        <w:numPr>
          <w:ilvl w:val="0"/>
          <w:numId w:val="3"/>
        </w:numPr>
        <w:spacing w:before="120" w:after="120" w:line="276" w:lineRule="auto"/>
        <w:ind w:left="993" w:hanging="426"/>
        <w:jc w:val="both"/>
      </w:pPr>
      <w:r>
        <w:t xml:space="preserve">W przypadku produktów wytwarzanych na linii dla gatunków nieprzeznaczonych do produkcji żywności należy wskazać rodzaje i kategorię produktów zgodnie z ich </w:t>
      </w:r>
      <w:r>
        <w:lastRenderedPageBreak/>
        <w:t>przeznaczeniem: karma pełnoporcjowa, suplement, produkt do gryzienia.</w:t>
      </w:r>
    </w:p>
    <w:p w14:paraId="31F27884" w14:textId="77777777" w:rsidR="00D539D9" w:rsidRDefault="00D539D9" w:rsidP="00D539D9">
      <w:pPr>
        <w:pStyle w:val="Teksttreci0"/>
        <w:spacing w:before="120" w:after="120" w:line="276" w:lineRule="auto"/>
        <w:ind w:left="993"/>
        <w:jc w:val="both"/>
      </w:pPr>
    </w:p>
    <w:p w14:paraId="5818D0A6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rPr>
          <w:b/>
        </w:rPr>
        <w:t>LINIA TECHNOLOGICZNA</w:t>
      </w:r>
      <w:r>
        <w:t xml:space="preserve"> Proces produkcyjny, któremu poddawany jest produkt. Za jedną linię uznaje się produkty, które podlegają temu samemu procesowi wytwarzania, włącznie z obróbką termiczną.</w:t>
      </w:r>
    </w:p>
    <w:p w14:paraId="4B0965B8" w14:textId="77777777" w:rsidR="006163E7" w:rsidRDefault="00DC6DFE" w:rsidP="00DC6DFE">
      <w:pPr>
        <w:pStyle w:val="Nagwek30"/>
        <w:keepNext/>
        <w:keepLines/>
        <w:spacing w:before="120" w:after="120" w:line="276" w:lineRule="auto"/>
        <w:jc w:val="both"/>
      </w:pPr>
      <w:r>
        <w:t>Przykłady linii technologicznych:</w:t>
      </w:r>
    </w:p>
    <w:p w14:paraId="42900F86" w14:textId="41E2F487" w:rsidR="006163E7" w:rsidRDefault="00DC6DFE" w:rsidP="00DC6DFE">
      <w:pPr>
        <w:pStyle w:val="Teksttreci0"/>
        <w:numPr>
          <w:ilvl w:val="0"/>
          <w:numId w:val="1"/>
        </w:numPr>
        <w:spacing w:before="120" w:after="120" w:line="276" w:lineRule="auto"/>
        <w:ind w:left="567" w:hanging="567"/>
      </w:pPr>
      <w:r>
        <w:t>Ekstruzja</w:t>
      </w:r>
    </w:p>
    <w:p w14:paraId="2BB04CB1" w14:textId="36D94CBF" w:rsidR="006163E7" w:rsidRDefault="00DC6DFE" w:rsidP="00DC6DFE">
      <w:pPr>
        <w:pStyle w:val="Teksttreci0"/>
        <w:numPr>
          <w:ilvl w:val="0"/>
          <w:numId w:val="1"/>
        </w:numPr>
        <w:spacing w:before="120" w:after="120" w:line="276" w:lineRule="auto"/>
        <w:ind w:left="567" w:hanging="567"/>
      </w:pPr>
      <w:proofErr w:type="spellStart"/>
      <w:r>
        <w:t>Peletowanie</w:t>
      </w:r>
      <w:proofErr w:type="spellEnd"/>
      <w:r>
        <w:tab/>
        <w:t>Sterylizowanie</w:t>
      </w:r>
    </w:p>
    <w:p w14:paraId="257AE0F1" w14:textId="502BE264" w:rsidR="006163E7" w:rsidRDefault="00DC6DFE" w:rsidP="00DC6DFE">
      <w:pPr>
        <w:pStyle w:val="Teksttreci0"/>
        <w:numPr>
          <w:ilvl w:val="0"/>
          <w:numId w:val="1"/>
        </w:numPr>
        <w:spacing w:before="120" w:after="120" w:line="276" w:lineRule="auto"/>
        <w:ind w:left="567" w:hanging="567"/>
      </w:pPr>
      <w:r>
        <w:t>Suszenie</w:t>
      </w:r>
    </w:p>
    <w:p w14:paraId="761451B1" w14:textId="0ED4B5AE" w:rsidR="006163E7" w:rsidRDefault="00DC6DFE" w:rsidP="00DC6DFE">
      <w:pPr>
        <w:pStyle w:val="Teksttreci0"/>
        <w:numPr>
          <w:ilvl w:val="0"/>
          <w:numId w:val="1"/>
        </w:numPr>
        <w:spacing w:before="120" w:after="120" w:line="276" w:lineRule="auto"/>
        <w:ind w:left="567" w:hanging="567"/>
      </w:pPr>
      <w:r>
        <w:t>Liofilizowanie</w:t>
      </w:r>
    </w:p>
    <w:p w14:paraId="048EF2D5" w14:textId="758042DF" w:rsidR="006163E7" w:rsidRDefault="00DC6DFE" w:rsidP="00DC6DFE">
      <w:pPr>
        <w:pStyle w:val="Teksttreci0"/>
        <w:numPr>
          <w:ilvl w:val="0"/>
          <w:numId w:val="1"/>
        </w:numPr>
        <w:spacing w:before="120" w:after="120" w:line="276" w:lineRule="auto"/>
        <w:ind w:left="567" w:hanging="567"/>
      </w:pPr>
      <w:r>
        <w:t>Mieszanie bez obróbki cieplnej</w:t>
      </w:r>
    </w:p>
    <w:p w14:paraId="7B068ED8" w14:textId="0D05BA64" w:rsidR="006163E7" w:rsidRDefault="00DC6DFE" w:rsidP="00DC6DFE">
      <w:pPr>
        <w:pStyle w:val="Teksttreci0"/>
        <w:numPr>
          <w:ilvl w:val="0"/>
          <w:numId w:val="1"/>
        </w:numPr>
        <w:spacing w:before="120" w:after="120" w:line="276" w:lineRule="auto"/>
        <w:ind w:left="567" w:hanging="567"/>
      </w:pPr>
      <w:r>
        <w:t>Inne niż powyższe (określić)</w:t>
      </w:r>
    </w:p>
    <w:p w14:paraId="45A300E2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rPr>
          <w:b/>
        </w:rPr>
        <w:t xml:space="preserve">SYSTEM ZAPEWNIENIA JAKOŚCI (SAC) </w:t>
      </w:r>
      <w:r>
        <w:t>Rodzaj stosowanego systemu (GMP, HACCP, ISO lub inny). Skrócony opis systemu, zgodnie z punktami wymaganymi przez zarządzenie nr 5025/2009.</w:t>
      </w:r>
    </w:p>
    <w:p w14:paraId="1965C73B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rPr>
          <w:b/>
        </w:rPr>
        <w:t>CERTYFIKAT WOLNEJ SPRZEDAŻY (CLV)</w:t>
      </w:r>
      <w:r>
        <w:t xml:space="preserve"> Certyfikat wolnej sprzedaży musi zawierać: nazwę i adres zakładu produkcyjnego, nazwę(-y) handlową(-e) produktu(-ów), oświadczenie, że produkt(y) jest (są) sprzedawane swobodnie na terytorium kraju wystawienia. Jeśli to możliwe, certyfikat powinien zawierać również urzędowy numer nadany przez właściwy organ, wykaz składników.</w:t>
      </w:r>
    </w:p>
    <w:p w14:paraId="7098CFD6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rPr>
          <w:b/>
        </w:rPr>
        <w:t>Nazwy handlowe wskazane w CLV muszą być identyczne z nazwami, pod którymi produkt będzie wprowadzany do obrotu w Chile.</w:t>
      </w:r>
    </w:p>
    <w:p w14:paraId="316A47CB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t>Nie może być starszy niż dwa lata, z wyjątkiem dokumentów zawierających okres ważności.</w:t>
      </w:r>
    </w:p>
    <w:p w14:paraId="555104BF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t>Musi być oryginałem.</w:t>
      </w:r>
    </w:p>
    <w:p w14:paraId="202FF09A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t xml:space="preserve">Opatrzony klauzulą </w:t>
      </w:r>
      <w:proofErr w:type="spellStart"/>
      <w:r>
        <w:t>apostille</w:t>
      </w:r>
      <w:proofErr w:type="spellEnd"/>
      <w:r>
        <w:t xml:space="preserve"> </w:t>
      </w:r>
      <w:hyperlink r:id="rId11" w:history="1">
        <w:r>
          <w:rPr>
            <w:color w:val="0462C1"/>
            <w:u w:val="single"/>
          </w:rPr>
          <w:t>(www.apostilla.gob.cl)</w:t>
        </w:r>
      </w:hyperlink>
    </w:p>
    <w:p w14:paraId="6A2DF5EC" w14:textId="77777777" w:rsidR="006163E7" w:rsidRDefault="00DC6DFE" w:rsidP="00DC6DFE">
      <w:pPr>
        <w:pStyle w:val="Teksttreci0"/>
        <w:spacing w:before="120" w:after="120" w:line="276" w:lineRule="auto"/>
      </w:pPr>
      <w:r>
        <w:t>Jeżeli kraj pochodzenia nie jest stroną Konwencji Haskiej, dokument musi zostać zalegalizowany przez konsulat.</w:t>
      </w:r>
    </w:p>
    <w:p w14:paraId="00403E7F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t>Dla każdego nowego zgłoszenia należy przedłożyć oryginał certyfikatu wolnej sprzedaży. Nie będą uwzględniane certyfikaty wcześniej złożone w Urzędzie jako dokumentacja dla innych produktów, Wynika to z faktu, że są one archiwizowane jako część innego postępowania.</w:t>
      </w:r>
    </w:p>
    <w:p w14:paraId="3BAA46DC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rPr>
          <w:b/>
        </w:rPr>
        <w:t xml:space="preserve">BADANIA POTWIERDZAJĄCE OKRES TRWAŁOŚCI PRODUKTU </w:t>
      </w:r>
      <w:r>
        <w:t>Są to badania przeprowadzane przez zakłady lub laboratoria w celu określenia okresu trwałości produktu, czyli okresu, w którym pasza zachowuje właściwości i poziom jakości odpowiedni do spożycia. (Określenie najlepiej spożyć przed).</w:t>
      </w:r>
    </w:p>
    <w:p w14:paraId="0E6D2CA9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rPr>
          <w:b/>
        </w:rPr>
        <w:lastRenderedPageBreak/>
        <w:t xml:space="preserve">ETYKIETOWANIE PRODUKTU </w:t>
      </w:r>
      <w:r>
        <w:t>Etykieta produktu. Etykieta pochodzenia odpowiada tej stosowanej na rynku kraju producenta. Etykieta krajowa musi spełniać wymagania określone w</w:t>
      </w:r>
      <w:hyperlink r:id="rId12" w:history="1">
        <w:r>
          <w:t xml:space="preserve"> </w:t>
        </w:r>
        <w:r>
          <w:rPr>
            <w:color w:val="0462C1"/>
            <w:u w:val="single"/>
          </w:rPr>
          <w:t>dekrecie nr 4/2016.</w:t>
        </w:r>
      </w:hyperlink>
      <w:r>
        <w:br w:type="page"/>
      </w:r>
    </w:p>
    <w:p w14:paraId="0D56FCE1" w14:textId="53A17D59" w:rsidR="006163E7" w:rsidRDefault="00DC6DFE" w:rsidP="00DC6DFE">
      <w:pPr>
        <w:pStyle w:val="Nagwek30"/>
        <w:keepNext/>
        <w:keepLines/>
        <w:spacing w:before="120" w:after="120" w:line="276" w:lineRule="auto"/>
      </w:pPr>
      <w:r>
        <w:lastRenderedPageBreak/>
        <w:t>PODSTAWA OCENY MONOGRAFII DLA PASZ DLA GATUNKÓW NIEPRZEZNACZONYCH DO PRODUKCJI ŻYWNOŚCI</w:t>
      </w:r>
    </w:p>
    <w:p w14:paraId="5D300107" w14:textId="77777777" w:rsidR="006163E7" w:rsidRDefault="00DC6DFE" w:rsidP="00DC6DFE">
      <w:pPr>
        <w:pStyle w:val="Teksttreci0"/>
        <w:spacing w:before="120" w:after="120" w:line="276" w:lineRule="auto"/>
      </w:pPr>
      <w:r>
        <w:t xml:space="preserve">Dokumenty zgłaszane są za pośrednictwem platformy </w:t>
      </w:r>
      <w:proofErr w:type="spellStart"/>
      <w:r>
        <w:t>Cerofilas</w:t>
      </w:r>
      <w:proofErr w:type="spellEnd"/>
      <w:r>
        <w:t xml:space="preserve"> </w:t>
      </w:r>
      <w:hyperlink r:id="rId13" w:history="1">
        <w:r>
          <w:rPr>
            <w:color w:val="0000FF"/>
            <w:u w:val="single"/>
          </w:rPr>
          <w:t>https://cerofilas.sag.gob.cl/</w:t>
        </w:r>
        <w:r>
          <w:rPr>
            <w:color w:val="0000FF"/>
          </w:rPr>
          <w:t xml:space="preserve"> </w:t>
        </w:r>
      </w:hyperlink>
      <w:r>
        <w:t xml:space="preserve">procedura </w:t>
      </w:r>
      <w:r>
        <w:rPr>
          <w:b/>
        </w:rPr>
        <w:t>„</w:t>
      </w:r>
      <w:proofErr w:type="spellStart"/>
      <w:r>
        <w:rPr>
          <w:b/>
        </w:rPr>
        <w:t>Evaluación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monografía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procesos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productos</w:t>
      </w:r>
      <w:proofErr w:type="spellEnd"/>
      <w:r>
        <w:rPr>
          <w:b/>
        </w:rPr>
        <w:t xml:space="preserve"> para la </w:t>
      </w:r>
      <w:proofErr w:type="spellStart"/>
      <w:r>
        <w:rPr>
          <w:b/>
        </w:rPr>
        <w:t>alimentación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animal</w:t>
      </w:r>
      <w:proofErr w:type="spellEnd"/>
      <w:r>
        <w:rPr>
          <w:b/>
        </w:rPr>
        <w:t>” („Ocena monografii procesowych dla produktów paszowych”).</w:t>
      </w:r>
    </w:p>
    <w:p w14:paraId="15A459B7" w14:textId="20D834AD" w:rsidR="006163E7" w:rsidRDefault="00DC6DFE" w:rsidP="00DC6DFE">
      <w:pPr>
        <w:pStyle w:val="Teksttreci0"/>
        <w:numPr>
          <w:ilvl w:val="0"/>
          <w:numId w:val="5"/>
        </w:numPr>
        <w:spacing w:before="120" w:after="120" w:line="276" w:lineRule="auto"/>
        <w:ind w:left="851" w:hanging="425"/>
      </w:pPr>
      <w:r>
        <w:t>Monografia procesu produkcyjnego. Musi zawierać informacje dotyczące wszystkich zgłaszanych produktów dla danej linii technologicznej. (Strona 3)</w:t>
      </w:r>
    </w:p>
    <w:p w14:paraId="5D1271BC" w14:textId="2399E33E" w:rsidR="006163E7" w:rsidRDefault="00DC6DFE" w:rsidP="00DC6DFE">
      <w:pPr>
        <w:pStyle w:val="Teksttreci0"/>
        <w:numPr>
          <w:ilvl w:val="0"/>
          <w:numId w:val="5"/>
        </w:numPr>
        <w:spacing w:before="120" w:after="120" w:line="276" w:lineRule="auto"/>
        <w:ind w:left="851" w:hanging="425"/>
      </w:pPr>
      <w:r>
        <w:t>System Zapewnienia Jakości (SAC).</w:t>
      </w:r>
    </w:p>
    <w:p w14:paraId="27A2123D" w14:textId="61AF7778" w:rsidR="006163E7" w:rsidRDefault="00DC6DFE" w:rsidP="00DC6DFE">
      <w:pPr>
        <w:pStyle w:val="Teksttreci0"/>
        <w:numPr>
          <w:ilvl w:val="0"/>
          <w:numId w:val="5"/>
        </w:numPr>
        <w:spacing w:before="120" w:after="120" w:line="276" w:lineRule="auto"/>
        <w:ind w:left="851" w:hanging="425"/>
      </w:pPr>
      <w:r>
        <w:t>Badania potwierdzające okres trwałości produktu.</w:t>
      </w:r>
    </w:p>
    <w:p w14:paraId="0FA278F1" w14:textId="23872E68" w:rsidR="006163E7" w:rsidRDefault="00DC6DFE" w:rsidP="00DC6DFE">
      <w:pPr>
        <w:pStyle w:val="Teksttreci0"/>
        <w:numPr>
          <w:ilvl w:val="0"/>
          <w:numId w:val="5"/>
        </w:numPr>
        <w:spacing w:before="120" w:after="120" w:line="276" w:lineRule="auto"/>
        <w:ind w:left="851" w:hanging="425"/>
      </w:pPr>
      <w:r>
        <w:t xml:space="preserve">Certyfikat wolnej sprzedaży opatrzony klauzulą </w:t>
      </w:r>
      <w:proofErr w:type="spellStart"/>
      <w:r>
        <w:t>apostille</w:t>
      </w:r>
      <w:proofErr w:type="spellEnd"/>
      <w:r>
        <w:t xml:space="preserve"> lub zalegalizowany przez konsulat.</w:t>
      </w:r>
    </w:p>
    <w:p w14:paraId="670673AA" w14:textId="140C1045" w:rsidR="006163E7" w:rsidRDefault="00DC6DFE" w:rsidP="00DC6DFE">
      <w:pPr>
        <w:pStyle w:val="Teksttreci0"/>
        <w:numPr>
          <w:ilvl w:val="0"/>
          <w:numId w:val="5"/>
        </w:numPr>
        <w:spacing w:before="120" w:after="120" w:line="276" w:lineRule="auto"/>
        <w:ind w:left="851" w:hanging="425"/>
      </w:pPr>
      <w:r>
        <w:t>Oryginalna etykieta produktów.</w:t>
      </w:r>
    </w:p>
    <w:p w14:paraId="7D9030D9" w14:textId="2DD8DB4B" w:rsidR="006163E7" w:rsidRDefault="00DC6DFE" w:rsidP="00DC6DFE">
      <w:pPr>
        <w:pStyle w:val="Teksttreci0"/>
        <w:numPr>
          <w:ilvl w:val="0"/>
          <w:numId w:val="5"/>
        </w:numPr>
        <w:spacing w:before="120" w:after="120" w:line="276" w:lineRule="auto"/>
        <w:ind w:left="851" w:hanging="425"/>
      </w:pPr>
      <w:r>
        <w:t xml:space="preserve">Etykiety przeznaczone do stosowania w Chile (zgodnie z </w:t>
      </w:r>
      <w:hyperlink r:id="rId14" w:history="1">
        <w:r>
          <w:rPr>
            <w:color w:val="0462C1"/>
            <w:u w:val="single"/>
          </w:rPr>
          <w:t>dekretem nr 4/2016</w:t>
        </w:r>
        <w:r>
          <w:t>)</w:t>
        </w:r>
      </w:hyperlink>
      <w:r>
        <w:t xml:space="preserve"> w języku </w:t>
      </w:r>
      <w:r>
        <w:rPr>
          <w:b/>
        </w:rPr>
        <w:t>hiszpańskim</w:t>
      </w:r>
      <w:r>
        <w:t>.</w:t>
      </w:r>
    </w:p>
    <w:p w14:paraId="4C1ED553" w14:textId="736196DF" w:rsidR="006163E7" w:rsidRDefault="00DC6DFE" w:rsidP="00DC6DFE">
      <w:pPr>
        <w:pStyle w:val="Teksttreci0"/>
        <w:numPr>
          <w:ilvl w:val="0"/>
          <w:numId w:val="5"/>
        </w:numPr>
        <w:spacing w:before="120" w:after="120" w:line="276" w:lineRule="auto"/>
        <w:ind w:left="851" w:hanging="425"/>
      </w:pPr>
      <w:r>
        <w:t>Wykaz nazw handlowych produktów przedkładanych do oceny, w formacie Word (muszą być identyczne z nazwami wskazanymi w certyfikacie wolnej sprzedaży CLV).</w:t>
      </w:r>
    </w:p>
    <w:p w14:paraId="087F0839" w14:textId="77777777" w:rsidR="00DC6DFE" w:rsidRDefault="00DC6DFE" w:rsidP="00DC6DFE">
      <w:pPr>
        <w:pStyle w:val="Teksttreci0"/>
        <w:spacing w:before="120" w:after="120" w:line="276" w:lineRule="auto"/>
      </w:pPr>
    </w:p>
    <w:p w14:paraId="077375EE" w14:textId="77777777" w:rsidR="00DC6DFE" w:rsidRDefault="00DC6DFE" w:rsidP="00DC6DFE">
      <w:pPr>
        <w:pStyle w:val="Teksttreci0"/>
        <w:spacing w:before="120" w:after="120" w:line="276" w:lineRule="auto"/>
      </w:pPr>
    </w:p>
    <w:p w14:paraId="1FAEEAD9" w14:textId="737FD32C" w:rsidR="00DC6DFE" w:rsidRDefault="00DC6DFE">
      <w:pPr>
        <w:rPr>
          <w:rFonts w:ascii="Verdana" w:eastAsia="Verdana" w:hAnsi="Verdana" w:cs="Verdana"/>
          <w:sz w:val="20"/>
          <w:szCs w:val="20"/>
        </w:rPr>
      </w:pPr>
      <w:r>
        <w:br w:type="page"/>
      </w:r>
    </w:p>
    <w:p w14:paraId="14743D9C" w14:textId="77777777" w:rsidR="006163E7" w:rsidRDefault="00DC6DFE" w:rsidP="00DC6DFE">
      <w:pPr>
        <w:pStyle w:val="Nagwek30"/>
        <w:keepNext/>
        <w:keepLines/>
        <w:spacing w:before="120" w:after="120" w:line="276" w:lineRule="auto"/>
      </w:pPr>
      <w:r>
        <w:lastRenderedPageBreak/>
        <w:t>PODSTAWA OCENY MONOGRAFII DLA PASZ DLA GATUNKÓW PRZEZNACZONYCH DO UBOJU</w:t>
      </w:r>
    </w:p>
    <w:p w14:paraId="4908CA24" w14:textId="77777777" w:rsidR="00DC6DFE" w:rsidRDefault="00DC6DFE" w:rsidP="00DC6DFE">
      <w:pPr>
        <w:pStyle w:val="Nagwek30"/>
        <w:keepNext/>
        <w:keepLines/>
        <w:spacing w:before="120" w:after="120" w:line="276" w:lineRule="auto"/>
      </w:pPr>
    </w:p>
    <w:p w14:paraId="4A6C34AE" w14:textId="61A4C2C3" w:rsidR="006163E7" w:rsidRDefault="00DC6DFE" w:rsidP="00DC6DFE">
      <w:pPr>
        <w:pStyle w:val="Teksttreci0"/>
        <w:numPr>
          <w:ilvl w:val="0"/>
          <w:numId w:val="7"/>
        </w:numPr>
        <w:spacing w:before="120" w:after="120" w:line="276" w:lineRule="auto"/>
        <w:ind w:left="851" w:hanging="425"/>
      </w:pPr>
      <w:r>
        <w:t>Monografia procesu produkcyjnego. (Strona 3)</w:t>
      </w:r>
    </w:p>
    <w:p w14:paraId="342DDB17" w14:textId="49E964D0" w:rsidR="006163E7" w:rsidRDefault="00DC6DFE" w:rsidP="00DC6DFE">
      <w:pPr>
        <w:pStyle w:val="Teksttreci0"/>
        <w:numPr>
          <w:ilvl w:val="0"/>
          <w:numId w:val="7"/>
        </w:numPr>
        <w:spacing w:before="120" w:after="120" w:line="276" w:lineRule="auto"/>
        <w:ind w:left="851" w:hanging="425"/>
      </w:pPr>
      <w:r>
        <w:t>System Zapewnienia Jakości (SAC).</w:t>
      </w:r>
    </w:p>
    <w:p w14:paraId="5E3AE010" w14:textId="19CD6E29" w:rsidR="006163E7" w:rsidRDefault="00DC6DFE" w:rsidP="00DC6DFE">
      <w:pPr>
        <w:pStyle w:val="Teksttreci0"/>
        <w:numPr>
          <w:ilvl w:val="0"/>
          <w:numId w:val="7"/>
        </w:numPr>
        <w:spacing w:before="120" w:after="120" w:line="276" w:lineRule="auto"/>
        <w:ind w:left="851" w:hanging="425"/>
      </w:pPr>
      <w:r>
        <w:t>Badania potwierdzające okres trwałości produktu.</w:t>
      </w:r>
    </w:p>
    <w:p w14:paraId="13B2B66F" w14:textId="7907D243" w:rsidR="006163E7" w:rsidRDefault="00DC6DFE" w:rsidP="00DC6DFE">
      <w:pPr>
        <w:pStyle w:val="Teksttreci0"/>
        <w:numPr>
          <w:ilvl w:val="0"/>
          <w:numId w:val="7"/>
        </w:numPr>
        <w:spacing w:before="120" w:after="120" w:line="276" w:lineRule="auto"/>
        <w:ind w:left="851" w:hanging="425"/>
      </w:pPr>
      <w:r>
        <w:t xml:space="preserve">Certyfikat wolnej sprzedaży opatrzony klauzulą </w:t>
      </w:r>
      <w:proofErr w:type="spellStart"/>
      <w:r>
        <w:t>apostille</w:t>
      </w:r>
      <w:proofErr w:type="spellEnd"/>
      <w:r>
        <w:t xml:space="preserve"> lub zalegalizowany przez konsulat.</w:t>
      </w:r>
    </w:p>
    <w:p w14:paraId="4A0D7406" w14:textId="3C1A5D76" w:rsidR="006163E7" w:rsidRDefault="00DC6DFE" w:rsidP="00DC6DFE">
      <w:pPr>
        <w:pStyle w:val="Teksttreci0"/>
        <w:numPr>
          <w:ilvl w:val="0"/>
          <w:numId w:val="7"/>
        </w:numPr>
        <w:spacing w:before="120" w:after="120" w:line="276" w:lineRule="auto"/>
        <w:ind w:left="851" w:hanging="425"/>
      </w:pPr>
      <w:r>
        <w:t>Oryginalna etykieta produktu.</w:t>
      </w:r>
    </w:p>
    <w:p w14:paraId="0128F0C3" w14:textId="5A803AED" w:rsidR="006163E7" w:rsidRDefault="00DC6DFE" w:rsidP="00DC6DFE">
      <w:pPr>
        <w:pStyle w:val="Teksttreci0"/>
        <w:numPr>
          <w:ilvl w:val="0"/>
          <w:numId w:val="7"/>
        </w:numPr>
        <w:tabs>
          <w:tab w:val="left" w:pos="522"/>
        </w:tabs>
        <w:spacing w:before="120" w:after="120" w:line="276" w:lineRule="auto"/>
        <w:ind w:left="851" w:hanging="425"/>
      </w:pPr>
      <w:r>
        <w:t xml:space="preserve">Etykieta przeznaczona do stosowania w Chile (zgodnie z </w:t>
      </w:r>
      <w:hyperlink r:id="rId15" w:history="1">
        <w:r>
          <w:rPr>
            <w:color w:val="0462C1"/>
            <w:u w:val="single"/>
          </w:rPr>
          <w:t>dekretem nr 4/2016</w:t>
        </w:r>
        <w:r>
          <w:t>)</w:t>
        </w:r>
      </w:hyperlink>
      <w:r>
        <w:t xml:space="preserve"> w języku </w:t>
      </w:r>
      <w:r>
        <w:rPr>
          <w:b/>
        </w:rPr>
        <w:t>hiszpańskim</w:t>
      </w:r>
      <w:r>
        <w:t>.</w:t>
      </w:r>
    </w:p>
    <w:p w14:paraId="34126641" w14:textId="046185BF" w:rsidR="006163E7" w:rsidRDefault="00DC6DFE" w:rsidP="00DC6DFE">
      <w:pPr>
        <w:pStyle w:val="Teksttreci0"/>
        <w:numPr>
          <w:ilvl w:val="0"/>
          <w:numId w:val="7"/>
        </w:numPr>
        <w:tabs>
          <w:tab w:val="left" w:pos="503"/>
        </w:tabs>
        <w:spacing w:before="120" w:after="120" w:line="276" w:lineRule="auto"/>
        <w:ind w:left="851" w:hanging="425"/>
      </w:pPr>
      <w:r>
        <w:t>Dostarczenie składu produktu w formacie Word.</w:t>
      </w:r>
    </w:p>
    <w:p w14:paraId="10EB209A" w14:textId="77777777" w:rsidR="00DC6DFE" w:rsidRDefault="00DC6DFE" w:rsidP="00DC6DFE">
      <w:pPr>
        <w:pStyle w:val="Teksttreci0"/>
        <w:tabs>
          <w:tab w:val="left" w:pos="503"/>
        </w:tabs>
        <w:spacing w:before="120" w:after="120" w:line="276" w:lineRule="auto"/>
      </w:pPr>
    </w:p>
    <w:p w14:paraId="1AA90F81" w14:textId="0B2ACE29" w:rsidR="00DC6DFE" w:rsidRDefault="00DC6DFE">
      <w:pPr>
        <w:rPr>
          <w:rFonts w:ascii="Verdana" w:eastAsia="Verdana" w:hAnsi="Verdana" w:cs="Verdana"/>
          <w:sz w:val="20"/>
          <w:szCs w:val="20"/>
        </w:rPr>
      </w:pPr>
      <w:r>
        <w:br w:type="page"/>
      </w:r>
    </w:p>
    <w:p w14:paraId="62C49736" w14:textId="77777777" w:rsidR="006163E7" w:rsidRDefault="00DC6DFE" w:rsidP="00DC6DFE">
      <w:pPr>
        <w:pStyle w:val="Nagwek30"/>
        <w:keepNext/>
        <w:keepLines/>
        <w:spacing w:before="120" w:after="120" w:line="276" w:lineRule="auto"/>
      </w:pPr>
      <w:r>
        <w:lastRenderedPageBreak/>
        <w:t>OCENA INFORMACJI</w:t>
      </w:r>
    </w:p>
    <w:p w14:paraId="2AE9E5AC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t xml:space="preserve">Po złożeniu wniosku na platformie </w:t>
      </w:r>
      <w:proofErr w:type="spellStart"/>
      <w:r>
        <w:t>Cerofilas</w:t>
      </w:r>
      <w:proofErr w:type="spellEnd"/>
      <w:r>
        <w:t xml:space="preserve"> i uiszczeniu odpowiedniej opłaty (5 UTM + VAT), Urząd ma obowiązek wydać decyzję w terminie </w:t>
      </w:r>
      <w:r>
        <w:rPr>
          <w:b/>
        </w:rPr>
        <w:t>60 dni kalendarzowych</w:t>
      </w:r>
      <w:r>
        <w:t>. Termin ten nie obejmuje czasu oczekiwania na odpowiedzi od wnioskodawcy.</w:t>
      </w:r>
    </w:p>
    <w:p w14:paraId="6A1CBA9E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t xml:space="preserve">W trakcie procesu oceny Urząd może zażądać przedstawienia dodatkowych dokumentów. Takie żądanie zostanie przekazane drogą e-mailową, a odpowiedź należy złożyć za pośrednictwem platformy </w:t>
      </w:r>
      <w:proofErr w:type="spellStart"/>
      <w:r>
        <w:t>Cerofilas</w:t>
      </w:r>
      <w:proofErr w:type="spellEnd"/>
      <w:r>
        <w:t>.</w:t>
      </w:r>
    </w:p>
    <w:p w14:paraId="6B303602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t xml:space="preserve">Jeżeli w terminie </w:t>
      </w:r>
      <w:r>
        <w:rPr>
          <w:b/>
          <w:bCs/>
        </w:rPr>
        <w:t>sześciu miesięcy</w:t>
      </w:r>
      <w:r>
        <w:t xml:space="preserve"> wnioskodawca nie dostarczy wszystkich dokumentów wymaganych przez Urząd, uznaje się, że zrezygnował z wniosku, chyba że w formie pisemnej zwróci się o przedłużenie okresu oceny. Opłata nie podlega zwrotowi.</w:t>
      </w:r>
    </w:p>
    <w:p w14:paraId="195C4DBC" w14:textId="77777777" w:rsidR="00DC6DFE" w:rsidRDefault="00DC6DFE" w:rsidP="00DC6DFE">
      <w:pPr>
        <w:pStyle w:val="Teksttreci0"/>
        <w:spacing w:before="120" w:after="120" w:line="276" w:lineRule="auto"/>
        <w:jc w:val="both"/>
      </w:pPr>
    </w:p>
    <w:p w14:paraId="0F152B93" w14:textId="77777777" w:rsidR="00DC6DFE" w:rsidRDefault="00DC6DFE" w:rsidP="00DC6DFE">
      <w:pPr>
        <w:pStyle w:val="Teksttreci0"/>
        <w:spacing w:before="120" w:after="120" w:line="276" w:lineRule="auto"/>
        <w:jc w:val="both"/>
      </w:pPr>
    </w:p>
    <w:p w14:paraId="3394D92C" w14:textId="77777777" w:rsidR="006163E7" w:rsidRDefault="00DC6DFE" w:rsidP="00DC6DFE">
      <w:pPr>
        <w:pStyle w:val="Nagwek30"/>
        <w:keepNext/>
        <w:keepLines/>
        <w:spacing w:before="120" w:after="120" w:line="276" w:lineRule="auto"/>
      </w:pPr>
      <w:r>
        <w:t>ZATWIERDZENIE LUB ODMOWA</w:t>
      </w:r>
    </w:p>
    <w:p w14:paraId="1D9A6F66" w14:textId="4882FCE7" w:rsidR="006163E7" w:rsidRDefault="00DC6DFE" w:rsidP="00D539D9">
      <w:pPr>
        <w:pStyle w:val="Teksttreci0"/>
        <w:tabs>
          <w:tab w:val="left" w:pos="4930"/>
        </w:tabs>
        <w:spacing w:before="120" w:after="120" w:line="276" w:lineRule="auto"/>
        <w:jc w:val="both"/>
      </w:pPr>
      <w:r>
        <w:t xml:space="preserve">Jeśli wynik oceny monografii jest pozytywny, wydawana jest decyzja zatwierdzająca monografię. Dokument ten można pobrać bezpośrednio z platformy </w:t>
      </w:r>
      <w:proofErr w:type="spellStart"/>
      <w:r>
        <w:t>Cerofilas</w:t>
      </w:r>
      <w:proofErr w:type="spellEnd"/>
      <w:r>
        <w:t>.</w:t>
      </w:r>
    </w:p>
    <w:p w14:paraId="48B05620" w14:textId="77777777" w:rsidR="006163E7" w:rsidRDefault="00DC6DFE" w:rsidP="00D539D9">
      <w:pPr>
        <w:pStyle w:val="Teksttreci0"/>
        <w:spacing w:before="120" w:after="120" w:line="276" w:lineRule="auto"/>
        <w:jc w:val="both"/>
      </w:pPr>
      <w:r>
        <w:rPr>
          <w:b/>
        </w:rPr>
        <w:t xml:space="preserve">W przypadku gatunków przeznaczonych do uboju </w:t>
      </w:r>
      <w:r>
        <w:t>Decyzja ma charakter indywidualny i dotyczy dopuszczenia dla produktu zgodnego z nazwą zawartą w świadectwie wolnej sprzedaży i jego zakładem wytwórczym lub przetwórczym (nie jest wydawana dla importera, eksportera ani odbiorcy).</w:t>
      </w:r>
    </w:p>
    <w:p w14:paraId="2FE4DAB3" w14:textId="77777777" w:rsidR="006163E7" w:rsidRDefault="00DC6DFE" w:rsidP="00D539D9">
      <w:pPr>
        <w:pStyle w:val="Teksttreci0"/>
        <w:spacing w:before="120" w:after="120" w:line="276" w:lineRule="auto"/>
        <w:jc w:val="both"/>
      </w:pPr>
      <w:r>
        <w:rPr>
          <w:b/>
        </w:rPr>
        <w:t xml:space="preserve">W przypadku gatunków nieprzeznaczonych do produkcji żywności </w:t>
      </w:r>
      <w:r>
        <w:t>Dopuszczenie jest wydawane na podstawie jednej decyzji zatwierdzającej. W decyzji wskazuje się wszystkie nazwy handlowe produktów wytwarzanych w danej linii. Wydawana jest na okres dwóch lat. Po tym okresie należy dokonać aktualizacji przekazanych danych.</w:t>
      </w:r>
    </w:p>
    <w:p w14:paraId="79A6CD08" w14:textId="77777777" w:rsidR="006163E7" w:rsidRDefault="00DC6DFE" w:rsidP="00D539D9">
      <w:pPr>
        <w:pStyle w:val="Teksttreci0"/>
        <w:spacing w:before="120" w:after="120" w:line="276" w:lineRule="auto"/>
        <w:jc w:val="both"/>
      </w:pPr>
      <w:r>
        <w:t>Dopuszczenie jest wydawane na podstawie jednej decyzji zatwierdzającej. W decyzji wskazuje się wszystkie nazwy handlowe produktów wytwarzanych w danej linii. Wydawana jest na okres dwóch lat. Po tym okresie należy dokonać aktualizacji przekazanych danych.</w:t>
      </w:r>
    </w:p>
    <w:p w14:paraId="0F149B1A" w14:textId="77777777" w:rsidR="006163E7" w:rsidRDefault="00DC6DFE" w:rsidP="00D539D9">
      <w:pPr>
        <w:pStyle w:val="Teksttreci0"/>
        <w:spacing w:before="120" w:after="120" w:line="276" w:lineRule="auto"/>
        <w:jc w:val="both"/>
      </w:pPr>
      <w:r>
        <w:t>Jeśli wynik oceny jest negatywny, decyzja o odmowie zostanie przekazana z urzędu.</w:t>
      </w:r>
    </w:p>
    <w:p w14:paraId="248EFD34" w14:textId="77777777" w:rsidR="006163E7" w:rsidRDefault="00DC6DFE" w:rsidP="00D539D9">
      <w:pPr>
        <w:pStyle w:val="Teksttreci0"/>
        <w:spacing w:before="120" w:after="120" w:line="276" w:lineRule="auto"/>
        <w:jc w:val="both"/>
      </w:pPr>
      <w:r>
        <w:t xml:space="preserve">Każdy produkt zatwierdzony decyzją zostanie włączony do </w:t>
      </w:r>
      <w:r>
        <w:rPr>
          <w:b/>
        </w:rPr>
        <w:t>„Wykazu produktów paszowych dopuszczonych na mocy przedłożenia monografii procesu”</w:t>
      </w:r>
      <w:hyperlink r:id="rId16" w:history="1">
        <w:r>
          <w:rPr>
            <w:b/>
          </w:rPr>
          <w:t xml:space="preserve"> </w:t>
        </w:r>
        <w:r>
          <w:rPr>
            <w:color w:val="0462C1"/>
            <w:u w:val="single"/>
          </w:rPr>
          <w:t>https://www.sag.gob.cl/ambitos-de-</w:t>
        </w:r>
      </w:hyperlink>
      <w:r>
        <w:rPr>
          <w:color w:val="0462C1"/>
          <w:u w:val="single"/>
        </w:rPr>
        <w:t xml:space="preserve"> </w:t>
      </w:r>
      <w:hyperlink r:id="rId17" w:history="1">
        <w:r>
          <w:rPr>
            <w:color w:val="0462C1"/>
            <w:u w:val="single"/>
          </w:rPr>
          <w:t>action/list-of-imported-animal-feed-products-authorised-by-process-monograph</w:t>
        </w:r>
      </w:hyperlink>
      <w:r>
        <w:rPr>
          <w:color w:val="0462C1"/>
          <w:u w:val="single"/>
        </w:rPr>
        <w:t xml:space="preserve"> </w:t>
      </w:r>
      <w:hyperlink r:id="rId18" w:history="1">
        <w:proofErr w:type="spellStart"/>
        <w:r>
          <w:rPr>
            <w:color w:val="0462C1"/>
            <w:u w:val="single"/>
          </w:rPr>
          <w:t>process</w:t>
        </w:r>
        <w:proofErr w:type="spellEnd"/>
        <w:r>
          <w:rPr>
            <w:color w:val="0462C1"/>
            <w:u w:val="single"/>
          </w:rPr>
          <w:t>-by-</w:t>
        </w:r>
        <w:proofErr w:type="spellStart"/>
        <w:r>
          <w:rPr>
            <w:color w:val="0462C1"/>
            <w:u w:val="single"/>
          </w:rPr>
          <w:t>direct</w:t>
        </w:r>
        <w:proofErr w:type="spellEnd"/>
        <w:r>
          <w:rPr>
            <w:color w:val="0462C1"/>
            <w:u w:val="single"/>
          </w:rPr>
          <w:t>-</w:t>
        </w:r>
        <w:proofErr w:type="spellStart"/>
        <w:r>
          <w:rPr>
            <w:color w:val="0462C1"/>
            <w:u w:val="single"/>
          </w:rPr>
          <w:t>approval</w:t>
        </w:r>
        <w:proofErr w:type="spellEnd"/>
        <w:r>
          <w:rPr>
            <w:color w:val="0462C1"/>
            <w:u w:val="single"/>
          </w:rPr>
          <w:t>/</w:t>
        </w:r>
        <w:proofErr w:type="spellStart"/>
        <w:r>
          <w:rPr>
            <w:color w:val="0462C1"/>
            <w:u w:val="single"/>
          </w:rPr>
          <w:t>registrations</w:t>
        </w:r>
        <w:proofErr w:type="spellEnd"/>
      </w:hyperlink>
      <w:r>
        <w:br w:type="page"/>
      </w:r>
    </w:p>
    <w:p w14:paraId="1C9475AE" w14:textId="77777777" w:rsidR="006163E7" w:rsidRDefault="00DC6DFE" w:rsidP="00DC6DFE">
      <w:pPr>
        <w:pStyle w:val="Nagwek30"/>
        <w:keepNext/>
        <w:keepLines/>
        <w:spacing w:before="120" w:after="120" w:line="276" w:lineRule="auto"/>
      </w:pPr>
      <w:r>
        <w:lastRenderedPageBreak/>
        <w:t>ZMIANA DECYZJI ZATWIERDZAJĄCEJ</w:t>
      </w:r>
    </w:p>
    <w:p w14:paraId="06735A1F" w14:textId="77777777" w:rsidR="006163E7" w:rsidRDefault="00DC6DFE" w:rsidP="00DC6DFE">
      <w:pPr>
        <w:pStyle w:val="Teksttreci0"/>
        <w:spacing w:before="120" w:after="120" w:line="276" w:lineRule="auto"/>
      </w:pPr>
      <w:r>
        <w:t xml:space="preserve">Procedura ta </w:t>
      </w:r>
      <w:r>
        <w:rPr>
          <w:b/>
          <w:sz w:val="22"/>
        </w:rPr>
        <w:t xml:space="preserve">NIE </w:t>
      </w:r>
      <w:r>
        <w:rPr>
          <w:b/>
        </w:rPr>
        <w:t xml:space="preserve">jest realizowana za pośrednictwem platformy </w:t>
      </w:r>
      <w:proofErr w:type="spellStart"/>
      <w:r>
        <w:rPr>
          <w:b/>
        </w:rPr>
        <w:t>Cerofilas</w:t>
      </w:r>
      <w:proofErr w:type="spellEnd"/>
      <w:r>
        <w:t xml:space="preserve">. Informacje należy przesyłać za pośrednictwem poczty elektronicznej </w:t>
      </w:r>
      <w:hyperlink r:id="rId19" w:history="1">
        <w:r>
          <w:t xml:space="preserve"> </w:t>
        </w:r>
        <w:r>
          <w:rPr>
            <w:b/>
            <w:color w:val="0000FF"/>
            <w:u w:val="single"/>
          </w:rPr>
          <w:t>alimentosanimales@sag.gob.cl</w:t>
        </w:r>
      </w:hyperlink>
    </w:p>
    <w:p w14:paraId="12551CCC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t>W niektórych przypadkach zmiany wprowadzone do produktu oznaczają zmianę decyzji zatwierdzającej z uwagi na fakt, że zmiana musi zostać wprowadzona do odpowiednich punktów decyzji. Oznacza to, że dotychczasowa musi zostać uchylona i zastąpiona nową.</w:t>
      </w:r>
    </w:p>
    <w:p w14:paraId="663E872A" w14:textId="77777777" w:rsidR="006163E7" w:rsidRDefault="00DC6DFE" w:rsidP="00DC6DFE">
      <w:pPr>
        <w:pStyle w:val="Teksttreci0"/>
        <w:spacing w:before="120" w:after="120" w:line="276" w:lineRule="auto"/>
      </w:pPr>
      <w:r>
        <w:t>Wnioskodawca jest zobowiązany uiścić opłatę w wysokości 0,5 UTM + VAT za każdy złożony wniosek, zgodnie z rezolucją nr 7113/2016, punkt 1.B.</w:t>
      </w:r>
    </w:p>
    <w:p w14:paraId="07D433EC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t>W przypadku pasz przeznaczonych dla gatunków nieprzeznaczonych do produkcji żywności, które zostały dopuszczone do obrotu przed czerwcem 2020 r., możliwe jest złożenie jednego wniosku o zmianę nazwy handlowej lub nazwy/firmy producenta dla wszystkich produktów wytwarzanych na danej linii technologicznej.</w:t>
      </w:r>
      <w:r>
        <w:br/>
        <w:t>Jednakże dokumentacja musi wyraźnie wskazywać wszystkie produkty, których wniosek o zmianę dotyczy.</w:t>
      </w:r>
    </w:p>
    <w:p w14:paraId="72D89A28" w14:textId="77777777" w:rsidR="006163E7" w:rsidRDefault="00DC6DFE" w:rsidP="00DC6DFE">
      <w:pPr>
        <w:pStyle w:val="Teksttreci0"/>
        <w:spacing w:before="120" w:after="120" w:line="276" w:lineRule="auto"/>
      </w:pPr>
      <w:r>
        <w:t>Urząd wyda decyzję w terminie 30 dni kalendarzowych, licząc od dnia wpływu wniosku do oceny.</w:t>
      </w:r>
    </w:p>
    <w:p w14:paraId="7A9EDDEC" w14:textId="77777777" w:rsidR="006163E7" w:rsidRDefault="00DC6DFE" w:rsidP="00DC6DFE">
      <w:pPr>
        <w:pStyle w:val="Nagwek20"/>
        <w:keepNext/>
        <w:keepLines/>
        <w:spacing w:before="120" w:after="120" w:line="276" w:lineRule="auto"/>
        <w:ind w:firstLine="0"/>
      </w:pPr>
      <w:r>
        <w:t>Rodzaje zmian</w:t>
      </w:r>
    </w:p>
    <w:p w14:paraId="1D948A01" w14:textId="527E16ED" w:rsidR="006163E7" w:rsidRDefault="00DC6DFE" w:rsidP="00DC6DFE">
      <w:pPr>
        <w:pStyle w:val="Teksttreci0"/>
        <w:numPr>
          <w:ilvl w:val="1"/>
          <w:numId w:val="9"/>
        </w:numPr>
        <w:spacing w:before="120" w:after="120" w:line="276" w:lineRule="auto"/>
        <w:ind w:left="567" w:hanging="567"/>
      </w:pPr>
      <w:r>
        <w:t xml:space="preserve">Zmiana składu Zmiana ta ma zastosowanie wyłącznie do decyzji zatwierdzających dla </w:t>
      </w:r>
      <w:r>
        <w:rPr>
          <w:b/>
        </w:rPr>
        <w:t xml:space="preserve">gatunków nieprzeznaczonych do produkcji żywności </w:t>
      </w:r>
      <w:r>
        <w:t xml:space="preserve">wydanych </w:t>
      </w:r>
      <w:r>
        <w:rPr>
          <w:b/>
        </w:rPr>
        <w:t xml:space="preserve">przed czerwcem 2020 r. </w:t>
      </w:r>
      <w:r>
        <w:t xml:space="preserve">oraz </w:t>
      </w:r>
      <w:r>
        <w:rPr>
          <w:b/>
        </w:rPr>
        <w:t>do gatunków przeznaczonych do uboju</w:t>
      </w:r>
      <w:r>
        <w:t>.</w:t>
      </w:r>
      <w:r>
        <w:rPr>
          <w:b/>
        </w:rPr>
        <w:t xml:space="preserve"> </w:t>
      </w:r>
      <w:r>
        <w:t xml:space="preserve">W przypadku decyzji wydanych dla linii technologicznych dla </w:t>
      </w:r>
      <w:r>
        <w:rPr>
          <w:b/>
        </w:rPr>
        <w:t xml:space="preserve">gatunków nieprzeznaczonych do produkcji żywności </w:t>
      </w:r>
      <w:r>
        <w:t>dopuszczonych po czerwcu 2020 r. konieczne będzie jedynie powiadomienie Urzędu o dokonanej zmianie.</w:t>
      </w:r>
    </w:p>
    <w:p w14:paraId="667F0C3F" w14:textId="5616D7F9" w:rsidR="006163E7" w:rsidRDefault="00DC6DFE" w:rsidP="00DC6DFE">
      <w:pPr>
        <w:pStyle w:val="Teksttreci0"/>
        <w:numPr>
          <w:ilvl w:val="1"/>
          <w:numId w:val="9"/>
        </w:numPr>
        <w:spacing w:before="120" w:after="120" w:line="276" w:lineRule="auto"/>
        <w:ind w:left="567" w:hanging="567"/>
      </w:pPr>
      <w:r>
        <w:t>Zmiana nazwy handlowej produktu</w:t>
      </w:r>
    </w:p>
    <w:p w14:paraId="3305BC75" w14:textId="456850D6" w:rsidR="006163E7" w:rsidRDefault="00DC6DFE" w:rsidP="00DC6DFE">
      <w:pPr>
        <w:pStyle w:val="Teksttreci0"/>
        <w:numPr>
          <w:ilvl w:val="1"/>
          <w:numId w:val="9"/>
        </w:numPr>
        <w:spacing w:before="120" w:after="120" w:line="276" w:lineRule="auto"/>
        <w:ind w:left="567" w:hanging="567"/>
      </w:pPr>
      <w:r>
        <w:t>Zmiana gatunku docelowego</w:t>
      </w:r>
    </w:p>
    <w:p w14:paraId="7E1B99BC" w14:textId="4DF1F25D" w:rsidR="006163E7" w:rsidRDefault="00DC6DFE" w:rsidP="00DC6DFE">
      <w:pPr>
        <w:pStyle w:val="Teksttreci0"/>
        <w:numPr>
          <w:ilvl w:val="1"/>
          <w:numId w:val="9"/>
        </w:numPr>
        <w:spacing w:before="120" w:after="120" w:line="276" w:lineRule="auto"/>
        <w:ind w:left="567" w:hanging="567"/>
      </w:pPr>
      <w:r>
        <w:t>Zmiana nazwy firmy zakładu przetwórczego</w:t>
      </w:r>
    </w:p>
    <w:p w14:paraId="03E5BB36" w14:textId="55EBC4B5" w:rsidR="006163E7" w:rsidRDefault="00DC6DFE" w:rsidP="00DC6DFE">
      <w:pPr>
        <w:pStyle w:val="Teksttreci0"/>
        <w:numPr>
          <w:ilvl w:val="1"/>
          <w:numId w:val="9"/>
        </w:numPr>
        <w:spacing w:before="120" w:after="120" w:line="276" w:lineRule="auto"/>
        <w:ind w:left="567" w:hanging="567"/>
      </w:pPr>
      <w:r>
        <w:t>Zmiana okresu trwałości produktu</w:t>
      </w:r>
    </w:p>
    <w:p w14:paraId="774B39C3" w14:textId="77777777" w:rsidR="00DC6DFE" w:rsidRDefault="00DC6DFE" w:rsidP="00DC6DFE">
      <w:pPr>
        <w:pStyle w:val="Teksttreci0"/>
        <w:spacing w:before="120" w:after="120" w:line="276" w:lineRule="auto"/>
      </w:pPr>
    </w:p>
    <w:p w14:paraId="1F4BA81D" w14:textId="77777777" w:rsidR="006163E7" w:rsidRDefault="00DC6DFE" w:rsidP="00DC6DFE">
      <w:pPr>
        <w:pStyle w:val="Nagwek30"/>
        <w:keepNext/>
        <w:keepLines/>
        <w:spacing w:before="120" w:after="120" w:line="276" w:lineRule="auto"/>
        <w:jc w:val="left"/>
      </w:pPr>
      <w:r>
        <w:t>Informacje do przedłożenia</w:t>
      </w:r>
    </w:p>
    <w:p w14:paraId="347D1B6E" w14:textId="77777777" w:rsidR="006163E7" w:rsidRDefault="00DC6DFE" w:rsidP="00DC6DFE">
      <w:pPr>
        <w:pStyle w:val="Teksttreci0"/>
        <w:spacing w:before="120" w:after="120" w:line="276" w:lineRule="auto"/>
        <w:ind w:left="426" w:hanging="426"/>
      </w:pPr>
      <w:r>
        <w:t>1.</w:t>
      </w:r>
      <w:r>
        <w:tab/>
        <w:t>Wniosek o zmianę dla</w:t>
      </w:r>
      <w:hyperlink r:id="rId20" w:history="1">
        <w:r>
          <w:t xml:space="preserve"> </w:t>
        </w:r>
        <w:r>
          <w:rPr>
            <w:color w:val="0000FF"/>
          </w:rPr>
          <w:t>gatunku przeznaczonego do uboju</w:t>
        </w:r>
        <w:r>
          <w:rPr>
            <w:color w:val="0462C1"/>
          </w:rPr>
          <w:t xml:space="preserve"> </w:t>
        </w:r>
      </w:hyperlink>
      <w:r>
        <w:t>lub</w:t>
      </w:r>
      <w:hyperlink r:id="rId21" w:history="1">
        <w:r>
          <w:t xml:space="preserve"> </w:t>
        </w:r>
        <w:r>
          <w:rPr>
            <w:color w:val="0000FF"/>
          </w:rPr>
          <w:t xml:space="preserve">nieprzeznaczonego do produkcji żywności </w:t>
        </w:r>
      </w:hyperlink>
      <w:r>
        <w:t>w zależności</w:t>
      </w:r>
    </w:p>
    <w:p w14:paraId="3E921BF5" w14:textId="77777777" w:rsidR="006163E7" w:rsidRDefault="00DC6DFE" w:rsidP="00DC6DFE">
      <w:pPr>
        <w:pStyle w:val="Teksttreci0"/>
        <w:spacing w:before="120" w:after="120" w:line="276" w:lineRule="auto"/>
        <w:ind w:left="426" w:hanging="426"/>
      </w:pPr>
      <w:r>
        <w:t>od przypadku.</w:t>
      </w:r>
    </w:p>
    <w:p w14:paraId="06476D69" w14:textId="77777777" w:rsidR="006163E7" w:rsidRDefault="00DC6DFE" w:rsidP="00DC6DFE">
      <w:pPr>
        <w:pStyle w:val="Teksttreci0"/>
        <w:spacing w:before="120" w:after="120" w:line="276" w:lineRule="auto"/>
        <w:ind w:left="426" w:hanging="426"/>
      </w:pPr>
      <w:r>
        <w:t>2.</w:t>
      </w:r>
      <w:r>
        <w:tab/>
        <w:t>Etykieta produktu ze wskazaną zmianą.</w:t>
      </w:r>
    </w:p>
    <w:p w14:paraId="7D3CFBBB" w14:textId="77777777" w:rsidR="006163E7" w:rsidRDefault="00DC6DFE" w:rsidP="00DC6DFE">
      <w:pPr>
        <w:pStyle w:val="Teksttreci0"/>
        <w:spacing w:before="120" w:after="120" w:line="276" w:lineRule="auto"/>
        <w:ind w:left="426" w:hanging="426"/>
      </w:pPr>
      <w:r>
        <w:t>3.</w:t>
      </w:r>
      <w:r>
        <w:tab/>
        <w:t>Informacje potwierdzające okres trwałości produktu (badania stabilności</w:t>
      </w:r>
    </w:p>
    <w:p w14:paraId="279223AE" w14:textId="77777777" w:rsidR="006163E7" w:rsidRDefault="00DC6DFE" w:rsidP="00DC6DFE">
      <w:pPr>
        <w:pStyle w:val="Teksttreci0"/>
        <w:spacing w:before="120" w:after="120" w:line="276" w:lineRule="auto"/>
        <w:ind w:left="426" w:hanging="426"/>
      </w:pPr>
      <w:r>
        <w:lastRenderedPageBreak/>
        <w:t>produktu lub inne).</w:t>
      </w:r>
    </w:p>
    <w:p w14:paraId="2C6F8FAC" w14:textId="77777777" w:rsidR="006163E7" w:rsidRDefault="00DC6DFE" w:rsidP="00DC6DFE">
      <w:pPr>
        <w:pStyle w:val="Teksttreci0"/>
        <w:spacing w:before="120" w:after="120" w:line="276" w:lineRule="auto"/>
        <w:ind w:left="426" w:hanging="426"/>
      </w:pPr>
      <w:r>
        <w:t>4.</w:t>
      </w:r>
      <w:r>
        <w:tab/>
        <w:t>Certyfikat wolnej sprzedaży produktu(-ów).</w:t>
      </w:r>
    </w:p>
    <w:p w14:paraId="4EE77B92" w14:textId="55C8524D" w:rsidR="006163E7" w:rsidRDefault="00DC6DFE" w:rsidP="00DC6DFE">
      <w:pPr>
        <w:pStyle w:val="Teksttreci0"/>
        <w:spacing w:before="120" w:after="120" w:line="276" w:lineRule="auto"/>
        <w:ind w:left="426" w:hanging="426"/>
      </w:pPr>
      <w:r>
        <w:t>5.</w:t>
      </w:r>
      <w:r>
        <w:tab/>
        <w:t>Dodatkowe informacje potwierdzające wnioskowaną zmianę.</w:t>
      </w:r>
    </w:p>
    <w:p w14:paraId="217C71D3" w14:textId="77777777" w:rsidR="006163E7" w:rsidRDefault="00DC6DFE" w:rsidP="00DC6DFE">
      <w:pPr>
        <w:pStyle w:val="Teksttreci0"/>
        <w:spacing w:before="120" w:after="120" w:line="276" w:lineRule="auto"/>
        <w:sectPr w:rsidR="006163E7" w:rsidSect="00FE14AC">
          <w:headerReference w:type="default" r:id="rId22"/>
          <w:footerReference w:type="default" r:id="rId23"/>
          <w:headerReference w:type="first" r:id="rId24"/>
          <w:pgSz w:w="12240" w:h="15840" w:code="1"/>
          <w:pgMar w:top="1418" w:right="1418" w:bottom="1418" w:left="1418" w:header="567" w:footer="567" w:gutter="0"/>
          <w:cols w:space="720"/>
          <w:noEndnote/>
          <w:docGrid w:linePitch="360"/>
        </w:sectPr>
      </w:pPr>
      <w:r>
        <w:rPr>
          <w:b/>
        </w:rPr>
        <w:t>Przy ocenie zmiany produktu stosuje się aktualne kryteria dotyczące wymogów sanitarnych oraz analizy ryzyka. Z tego powodu może się zdarzyć, że dopuszczenie wydane wcześniej obecnie nie zostałoby wydane.</w:t>
      </w:r>
    </w:p>
    <w:p w14:paraId="3E2760B4" w14:textId="77777777" w:rsidR="006163E7" w:rsidRDefault="00DC6DFE" w:rsidP="00DC6DFE">
      <w:pPr>
        <w:pStyle w:val="Nagwek20"/>
        <w:keepNext/>
        <w:keepLines/>
        <w:spacing w:before="120" w:after="120" w:line="276" w:lineRule="auto"/>
        <w:ind w:firstLine="0"/>
        <w:jc w:val="center"/>
      </w:pPr>
      <w:r>
        <w:lastRenderedPageBreak/>
        <w:t>Ważne</w:t>
      </w:r>
    </w:p>
    <w:p w14:paraId="07B5A3F3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t xml:space="preserve">Należy mieć na uwadze, że dokonanie zmiany oznacza uchylenie poprzedniej decyzji zatwierdzającej, a w konsekwencji jej usunięcie z </w:t>
      </w:r>
      <w:r>
        <w:rPr>
          <w:b/>
          <w:bCs/>
        </w:rPr>
        <w:t>„Wykazu produktów paszowych zatwierdzonych na podstawie monografii procesu”</w:t>
      </w:r>
      <w:r>
        <w:t>. Skutkuje to tym, że produkt nie będzie mógł zostać wprowadzony do Chile w swojej wcześniejszej, zatwierdzonej wersji. Jeżeli produkt w „wersji” sprzed modyfikacji zostanie przedstawiony na jakimkolwiek przejściu granicznym, zostanie on odrzucony z uwagi na brak aktualnego zatwierdzenia.</w:t>
      </w:r>
    </w:p>
    <w:p w14:paraId="5E5F4A7D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t>Z tego względu zaleca się importerom, aby przeprowadzali tę procedurę w sposób umożliwiający koordynację partii produktów, które mają zostać wprowadzone, zgodnie z powyższymi zasadami.</w:t>
      </w:r>
    </w:p>
    <w:p w14:paraId="08B97382" w14:textId="77777777" w:rsidR="006163E7" w:rsidRDefault="00DC6DFE" w:rsidP="00DC6DFE">
      <w:pPr>
        <w:pStyle w:val="Teksttreci0"/>
        <w:spacing w:before="120" w:after="120" w:line="276" w:lineRule="auto"/>
        <w:jc w:val="both"/>
      </w:pPr>
      <w:r>
        <w:rPr>
          <w:b/>
        </w:rPr>
        <w:t>Urząd nie ponosi odpowiedzialności za odrzucenie partii produktów wynikające z braku koordynacji pomiędzy zmianą dopuszczenia a wprowadzaniem do Chile danego produktu.</w:t>
      </w:r>
      <w:bookmarkStart w:id="0" w:name="_GoBack"/>
      <w:bookmarkEnd w:id="0"/>
    </w:p>
    <w:sectPr w:rsidR="006163E7" w:rsidSect="00FE14AC">
      <w:pgSz w:w="12240" w:h="15840" w:code="1"/>
      <w:pgMar w:top="1418" w:right="1418" w:bottom="1418" w:left="1418" w:header="567" w:footer="567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0625C6" w14:textId="77777777" w:rsidR="00DC6DFE" w:rsidRDefault="00DC6DFE">
      <w:r>
        <w:separator/>
      </w:r>
    </w:p>
  </w:endnote>
  <w:endnote w:type="continuationSeparator" w:id="0">
    <w:p w14:paraId="5A67E1C8" w14:textId="77777777" w:rsidR="00DC6DFE" w:rsidRDefault="00DC6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94615060"/>
      <w:docPartObj>
        <w:docPartGallery w:val="Page Numbers (Bottom of Page)"/>
        <w:docPartUnique/>
      </w:docPartObj>
    </w:sdtPr>
    <w:sdtEndPr/>
    <w:sdtContent>
      <w:p w14:paraId="2079038B" w14:textId="00216EB7" w:rsidR="00FE14AC" w:rsidRDefault="00FE14AC" w:rsidP="00FE14AC">
        <w:pPr>
          <w:pStyle w:val="Teksttreci30"/>
        </w:pPr>
        <w:r>
          <w:t xml:space="preserve">Strona </w:t>
        </w:r>
        <w:r w:rsidRPr="00FE14AC">
          <w:rPr>
            <w:b/>
          </w:rPr>
          <w:fldChar w:fldCharType="begin"/>
        </w:r>
        <w:r w:rsidRPr="00FE14AC">
          <w:rPr>
            <w:b/>
          </w:rPr>
          <w:instrText>PAGE   \* MERGEFORMAT</w:instrText>
        </w:r>
        <w:r w:rsidRPr="00FE14AC">
          <w:rPr>
            <w:b/>
          </w:rPr>
          <w:fldChar w:fldCharType="separate"/>
        </w:r>
        <w:r w:rsidR="00D539D9">
          <w:rPr>
            <w:b/>
            <w:noProof/>
          </w:rPr>
          <w:t>11</w:t>
        </w:r>
        <w:r w:rsidRPr="00FE14AC">
          <w:rPr>
            <w:b/>
          </w:rPr>
          <w:fldChar w:fldCharType="end"/>
        </w:r>
        <w:r>
          <w:rPr>
            <w:b/>
          </w:rPr>
          <w:t xml:space="preserve"> </w:t>
        </w:r>
        <w:r>
          <w:t xml:space="preserve">z </w:t>
        </w:r>
        <w:r>
          <w:rPr>
            <w:b/>
          </w:rPr>
          <w:t>10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7CBF97" w14:textId="77777777" w:rsidR="006163E7" w:rsidRDefault="006163E7"/>
  </w:footnote>
  <w:footnote w:type="continuationSeparator" w:id="0">
    <w:p w14:paraId="1B4F5980" w14:textId="77777777" w:rsidR="006163E7" w:rsidRDefault="006163E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1ECF29" w14:textId="56C3DEA6" w:rsidR="00FE14AC" w:rsidRDefault="00FE14AC">
    <w:pPr>
      <w:pStyle w:val="Nagwek"/>
    </w:pPr>
    <w:r>
      <w:rPr>
        <w:noProof/>
        <w:lang w:eastAsia="ko-KR" w:bidi="ar-SA"/>
      </w:rPr>
      <w:drawing>
        <wp:inline distT="0" distB="0" distL="0" distR="0" wp14:anchorId="3341610B" wp14:editId="6E34BB8F">
          <wp:extent cx="1218889" cy="1078302"/>
          <wp:effectExtent l="0" t="0" r="635" b="7620"/>
          <wp:docPr id="123612208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7666" cy="10860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086B4FE" w14:textId="77777777" w:rsidR="00DC6DFE" w:rsidRDefault="00DC6DFE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98C7BC" w14:textId="09606F92" w:rsidR="00FE14AC" w:rsidRDefault="00FE14AC">
    <w:pPr>
      <w:pStyle w:val="Nagwek"/>
    </w:pPr>
    <w:r>
      <w:rPr>
        <w:noProof/>
        <w:lang w:eastAsia="ko-KR" w:bidi="ar-SA"/>
      </w:rPr>
      <w:drawing>
        <wp:inline distT="0" distB="0" distL="0" distR="0" wp14:anchorId="42F208D9" wp14:editId="36D7F731">
          <wp:extent cx="1218889" cy="1078302"/>
          <wp:effectExtent l="0" t="0" r="635" b="7620"/>
          <wp:docPr id="103346578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7666" cy="10860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21306"/>
    <w:multiLevelType w:val="hybridMultilevel"/>
    <w:tmpl w:val="A99C4A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B43048"/>
    <w:multiLevelType w:val="hybridMultilevel"/>
    <w:tmpl w:val="441AFB54"/>
    <w:lvl w:ilvl="0" w:tplc="57D4C168">
      <w:numFmt w:val="bullet"/>
      <w:lvlText w:val="•"/>
      <w:lvlJc w:val="left"/>
      <w:pPr>
        <w:ind w:left="780" w:hanging="420"/>
      </w:pPr>
      <w:rPr>
        <w:rFonts w:ascii="Arial" w:eastAsia="Arial" w:hAnsi="Arial" w:cs="Arial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290545"/>
    <w:multiLevelType w:val="hybridMultilevel"/>
    <w:tmpl w:val="D9A644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453456"/>
    <w:multiLevelType w:val="hybridMultilevel"/>
    <w:tmpl w:val="257A0972"/>
    <w:lvl w:ilvl="0" w:tplc="BACA4D32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9E2BA9"/>
    <w:multiLevelType w:val="hybridMultilevel"/>
    <w:tmpl w:val="56D8F9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F342CF"/>
    <w:multiLevelType w:val="hybridMultilevel"/>
    <w:tmpl w:val="9258A9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2A70AA"/>
    <w:multiLevelType w:val="hybridMultilevel"/>
    <w:tmpl w:val="0A024C56"/>
    <w:lvl w:ilvl="0" w:tplc="BACA4D32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A95B6C"/>
    <w:multiLevelType w:val="hybridMultilevel"/>
    <w:tmpl w:val="142883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3861FCC"/>
    <w:multiLevelType w:val="hybridMultilevel"/>
    <w:tmpl w:val="F64EC0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7C0FF82">
      <w:start w:val="7"/>
      <w:numFmt w:val="bullet"/>
      <w:lvlText w:val="•"/>
      <w:lvlJc w:val="left"/>
      <w:pPr>
        <w:ind w:left="1950" w:hanging="870"/>
      </w:pPr>
      <w:rPr>
        <w:rFonts w:ascii="Arial" w:eastAsia="Arial" w:hAnsi="Arial" w:cs="Arial" w:hint="default"/>
        <w:sz w:val="36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5"/>
  </w:num>
  <w:num w:numId="5">
    <w:abstractNumId w:val="8"/>
  </w:num>
  <w:num w:numId="6">
    <w:abstractNumId w:val="4"/>
  </w:num>
  <w:num w:numId="7">
    <w:abstractNumId w:val="2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3E7"/>
    <w:rsid w:val="00314D3C"/>
    <w:rsid w:val="006163E7"/>
    <w:rsid w:val="00D539D9"/>
    <w:rsid w:val="00DC6DFE"/>
    <w:rsid w:val="00FE1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6BB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4"/>
        <w:szCs w:val="24"/>
        <w:lang w:val="pl-PL" w:eastAsia="es-ES" w:bidi="es-E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rPr>
      <w:rFonts w:ascii="Verdana" w:eastAsia="Verdana" w:hAnsi="Verdana" w:cs="Verdana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Nagwek3">
    <w:name w:val="Nagłówek #3_"/>
    <w:basedOn w:val="Domylnaczcionkaakapitu"/>
    <w:link w:val="Nagwek30"/>
    <w:rPr>
      <w:rFonts w:ascii="Verdana" w:eastAsia="Verdana" w:hAnsi="Verdana" w:cs="Verdan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">
    <w:name w:val="Tekst treści_"/>
    <w:basedOn w:val="Domylnaczcionkaakapitu"/>
    <w:link w:val="Teksttreci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Nagwek1">
    <w:name w:val="Nagłówek #1_"/>
    <w:basedOn w:val="Domylnaczcionkaakapitu"/>
    <w:link w:val="Nagwek10"/>
    <w:rPr>
      <w:rFonts w:ascii="Calibri" w:eastAsia="Calibri" w:hAnsi="Calibri" w:cs="Calibri"/>
      <w:b/>
      <w:bCs/>
      <w:i w:val="0"/>
      <w:iCs w:val="0"/>
      <w:smallCaps/>
      <w:strike w:val="0"/>
      <w:sz w:val="30"/>
      <w:szCs w:val="30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Nagwek2">
    <w:name w:val="Nagłówek #2_"/>
    <w:basedOn w:val="Domylnaczcionkaakapitu"/>
    <w:link w:val="Nagwek20"/>
    <w:rPr>
      <w:rFonts w:ascii="Verdana" w:eastAsia="Verdana" w:hAnsi="Verdana" w:cs="Verdana"/>
      <w:b/>
      <w:bCs/>
      <w:i w:val="0"/>
      <w:iCs w:val="0"/>
      <w:smallCaps w:val="0"/>
      <w:strike w:val="0"/>
      <w:sz w:val="22"/>
      <w:szCs w:val="22"/>
      <w:u w:val="none"/>
    </w:rPr>
  </w:style>
  <w:style w:type="paragraph" w:customStyle="1" w:styleId="Teksttreci20">
    <w:name w:val="Tekst treści (2)"/>
    <w:basedOn w:val="Normalny"/>
    <w:link w:val="Teksttreci2"/>
    <w:pPr>
      <w:spacing w:before="3640"/>
      <w:jc w:val="center"/>
    </w:pPr>
    <w:rPr>
      <w:rFonts w:ascii="Verdana" w:eastAsia="Verdana" w:hAnsi="Verdana" w:cs="Verdana"/>
      <w:b/>
      <w:bCs/>
      <w:sz w:val="36"/>
      <w:szCs w:val="36"/>
    </w:rPr>
  </w:style>
  <w:style w:type="paragraph" w:customStyle="1" w:styleId="Nagwek30">
    <w:name w:val="Nagłówek #3"/>
    <w:basedOn w:val="Normalny"/>
    <w:link w:val="Nagwek3"/>
    <w:pPr>
      <w:spacing w:after="480"/>
      <w:jc w:val="center"/>
      <w:outlineLvl w:val="2"/>
    </w:pPr>
    <w:rPr>
      <w:rFonts w:ascii="Verdana" w:eastAsia="Verdana" w:hAnsi="Verdana" w:cs="Verdana"/>
      <w:b/>
      <w:bCs/>
      <w:sz w:val="20"/>
      <w:szCs w:val="20"/>
    </w:rPr>
  </w:style>
  <w:style w:type="paragraph" w:customStyle="1" w:styleId="Teksttreci0">
    <w:name w:val="Tekst treści"/>
    <w:basedOn w:val="Normalny"/>
    <w:link w:val="Teksttreci"/>
    <w:pPr>
      <w:spacing w:after="220"/>
    </w:pPr>
    <w:rPr>
      <w:rFonts w:ascii="Verdana" w:eastAsia="Verdana" w:hAnsi="Verdana" w:cs="Verdana"/>
      <w:sz w:val="20"/>
      <w:szCs w:val="20"/>
    </w:rPr>
  </w:style>
  <w:style w:type="paragraph" w:customStyle="1" w:styleId="Nagwek10">
    <w:name w:val="Nagłówek #1"/>
    <w:basedOn w:val="Normalny"/>
    <w:link w:val="Nagwek1"/>
    <w:pPr>
      <w:spacing w:after="120"/>
      <w:ind w:firstLine="360"/>
      <w:outlineLvl w:val="0"/>
    </w:pPr>
    <w:rPr>
      <w:rFonts w:ascii="Calibri" w:eastAsia="Calibri" w:hAnsi="Calibri" w:cs="Calibri"/>
      <w:b/>
      <w:bCs/>
      <w:smallCaps/>
      <w:sz w:val="30"/>
      <w:szCs w:val="30"/>
    </w:rPr>
  </w:style>
  <w:style w:type="paragraph" w:customStyle="1" w:styleId="Teksttreci30">
    <w:name w:val="Tekst treści (3)"/>
    <w:basedOn w:val="Normalny"/>
    <w:link w:val="Teksttreci3"/>
    <w:pPr>
      <w:spacing w:after="300"/>
      <w:jc w:val="right"/>
    </w:pPr>
    <w:rPr>
      <w:rFonts w:ascii="Calibri" w:eastAsia="Calibri" w:hAnsi="Calibri" w:cs="Calibri"/>
      <w:sz w:val="22"/>
      <w:szCs w:val="22"/>
    </w:rPr>
  </w:style>
  <w:style w:type="paragraph" w:customStyle="1" w:styleId="Nagwek20">
    <w:name w:val="Nagłówek #2"/>
    <w:basedOn w:val="Normalny"/>
    <w:link w:val="Nagwek2"/>
    <w:pPr>
      <w:spacing w:after="360"/>
      <w:ind w:firstLine="70"/>
      <w:outlineLvl w:val="1"/>
    </w:pPr>
    <w:rPr>
      <w:rFonts w:ascii="Verdana" w:eastAsia="Verdana" w:hAnsi="Verdana" w:cs="Verdana"/>
      <w:b/>
      <w:bCs/>
      <w:sz w:val="22"/>
      <w:szCs w:val="22"/>
    </w:rPr>
  </w:style>
  <w:style w:type="paragraph" w:styleId="Nagwek">
    <w:name w:val="header"/>
    <w:basedOn w:val="Normalny"/>
    <w:link w:val="NagwekZnak"/>
    <w:uiPriority w:val="99"/>
    <w:unhideWhenUsed/>
    <w:rsid w:val="00FE14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E14AC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FE14A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E14AC"/>
    <w:rPr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39D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39D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4"/>
        <w:szCs w:val="24"/>
        <w:lang w:val="pl-PL" w:eastAsia="es-ES" w:bidi="es-E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rPr>
      <w:rFonts w:ascii="Verdana" w:eastAsia="Verdana" w:hAnsi="Verdana" w:cs="Verdana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Nagwek3">
    <w:name w:val="Nagłówek #3_"/>
    <w:basedOn w:val="Domylnaczcionkaakapitu"/>
    <w:link w:val="Nagwek30"/>
    <w:rPr>
      <w:rFonts w:ascii="Verdana" w:eastAsia="Verdana" w:hAnsi="Verdana" w:cs="Verdan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">
    <w:name w:val="Tekst treści_"/>
    <w:basedOn w:val="Domylnaczcionkaakapitu"/>
    <w:link w:val="Teksttreci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Nagwek1">
    <w:name w:val="Nagłówek #1_"/>
    <w:basedOn w:val="Domylnaczcionkaakapitu"/>
    <w:link w:val="Nagwek10"/>
    <w:rPr>
      <w:rFonts w:ascii="Calibri" w:eastAsia="Calibri" w:hAnsi="Calibri" w:cs="Calibri"/>
      <w:b/>
      <w:bCs/>
      <w:i w:val="0"/>
      <w:iCs w:val="0"/>
      <w:smallCaps/>
      <w:strike w:val="0"/>
      <w:sz w:val="30"/>
      <w:szCs w:val="30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Nagwek2">
    <w:name w:val="Nagłówek #2_"/>
    <w:basedOn w:val="Domylnaczcionkaakapitu"/>
    <w:link w:val="Nagwek20"/>
    <w:rPr>
      <w:rFonts w:ascii="Verdana" w:eastAsia="Verdana" w:hAnsi="Verdana" w:cs="Verdana"/>
      <w:b/>
      <w:bCs/>
      <w:i w:val="0"/>
      <w:iCs w:val="0"/>
      <w:smallCaps w:val="0"/>
      <w:strike w:val="0"/>
      <w:sz w:val="22"/>
      <w:szCs w:val="22"/>
      <w:u w:val="none"/>
    </w:rPr>
  </w:style>
  <w:style w:type="paragraph" w:customStyle="1" w:styleId="Teksttreci20">
    <w:name w:val="Tekst treści (2)"/>
    <w:basedOn w:val="Normalny"/>
    <w:link w:val="Teksttreci2"/>
    <w:pPr>
      <w:spacing w:before="3640"/>
      <w:jc w:val="center"/>
    </w:pPr>
    <w:rPr>
      <w:rFonts w:ascii="Verdana" w:eastAsia="Verdana" w:hAnsi="Verdana" w:cs="Verdana"/>
      <w:b/>
      <w:bCs/>
      <w:sz w:val="36"/>
      <w:szCs w:val="36"/>
    </w:rPr>
  </w:style>
  <w:style w:type="paragraph" w:customStyle="1" w:styleId="Nagwek30">
    <w:name w:val="Nagłówek #3"/>
    <w:basedOn w:val="Normalny"/>
    <w:link w:val="Nagwek3"/>
    <w:pPr>
      <w:spacing w:after="480"/>
      <w:jc w:val="center"/>
      <w:outlineLvl w:val="2"/>
    </w:pPr>
    <w:rPr>
      <w:rFonts w:ascii="Verdana" w:eastAsia="Verdana" w:hAnsi="Verdana" w:cs="Verdana"/>
      <w:b/>
      <w:bCs/>
      <w:sz w:val="20"/>
      <w:szCs w:val="20"/>
    </w:rPr>
  </w:style>
  <w:style w:type="paragraph" w:customStyle="1" w:styleId="Teksttreci0">
    <w:name w:val="Tekst treści"/>
    <w:basedOn w:val="Normalny"/>
    <w:link w:val="Teksttreci"/>
    <w:pPr>
      <w:spacing w:after="220"/>
    </w:pPr>
    <w:rPr>
      <w:rFonts w:ascii="Verdana" w:eastAsia="Verdana" w:hAnsi="Verdana" w:cs="Verdana"/>
      <w:sz w:val="20"/>
      <w:szCs w:val="20"/>
    </w:rPr>
  </w:style>
  <w:style w:type="paragraph" w:customStyle="1" w:styleId="Nagwek10">
    <w:name w:val="Nagłówek #1"/>
    <w:basedOn w:val="Normalny"/>
    <w:link w:val="Nagwek1"/>
    <w:pPr>
      <w:spacing w:after="120"/>
      <w:ind w:firstLine="360"/>
      <w:outlineLvl w:val="0"/>
    </w:pPr>
    <w:rPr>
      <w:rFonts w:ascii="Calibri" w:eastAsia="Calibri" w:hAnsi="Calibri" w:cs="Calibri"/>
      <w:b/>
      <w:bCs/>
      <w:smallCaps/>
      <w:sz w:val="30"/>
      <w:szCs w:val="30"/>
    </w:rPr>
  </w:style>
  <w:style w:type="paragraph" w:customStyle="1" w:styleId="Teksttreci30">
    <w:name w:val="Tekst treści (3)"/>
    <w:basedOn w:val="Normalny"/>
    <w:link w:val="Teksttreci3"/>
    <w:pPr>
      <w:spacing w:after="300"/>
      <w:jc w:val="right"/>
    </w:pPr>
    <w:rPr>
      <w:rFonts w:ascii="Calibri" w:eastAsia="Calibri" w:hAnsi="Calibri" w:cs="Calibri"/>
      <w:sz w:val="22"/>
      <w:szCs w:val="22"/>
    </w:rPr>
  </w:style>
  <w:style w:type="paragraph" w:customStyle="1" w:styleId="Nagwek20">
    <w:name w:val="Nagłówek #2"/>
    <w:basedOn w:val="Normalny"/>
    <w:link w:val="Nagwek2"/>
    <w:pPr>
      <w:spacing w:after="360"/>
      <w:ind w:firstLine="70"/>
      <w:outlineLvl w:val="1"/>
    </w:pPr>
    <w:rPr>
      <w:rFonts w:ascii="Verdana" w:eastAsia="Verdana" w:hAnsi="Verdana" w:cs="Verdana"/>
      <w:b/>
      <w:bCs/>
      <w:sz w:val="22"/>
      <w:szCs w:val="22"/>
    </w:rPr>
  </w:style>
  <w:style w:type="paragraph" w:styleId="Nagwek">
    <w:name w:val="header"/>
    <w:basedOn w:val="Normalny"/>
    <w:link w:val="NagwekZnak"/>
    <w:uiPriority w:val="99"/>
    <w:unhideWhenUsed/>
    <w:rsid w:val="00FE14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E14AC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FE14A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E14AC"/>
    <w:rPr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39D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39D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erofilas.sag.gob.cl/" TargetMode="External"/><Relationship Id="rId13" Type="http://schemas.openxmlformats.org/officeDocument/2006/relationships/hyperlink" Target="https://cerofilas.sag.gob.cl/" TargetMode="External"/><Relationship Id="rId18" Type="http://schemas.openxmlformats.org/officeDocument/2006/relationships/hyperlink" Target="https://www.sag.gob.cl/ambitos-de-accion/listas-de-alimentos-importados-para-animales-autorizados-por-monografia-de-proceso-o-por-habilitacion-directa/registros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s://www.sag.gob.cl/sites/default/files/solicitud_modificacion_monografia_especies%20no%20productivas.docx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sag.gob.cl/ambitos-de-accion/importaciones-4/normativas?field_tipo_de_normativa_target_id=1778&amp;field_tema_relacionado_target_id=All&amp;field_estado_value=All&amp;field_n__value=4&amp;field_fecha_promulgaci_n_value=&amp;title=" TargetMode="External"/><Relationship Id="rId17" Type="http://schemas.openxmlformats.org/officeDocument/2006/relationships/hyperlink" Target="https://www.sag.gob.cl/ambitos-de-accion/listas-de-alimentos-importados-para-animales-autorizados-por-monografia-de-proceso-o-por-habilitacion-directa/registros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sag.gob.cl/ambitos-de-accion/listas-de-alimentos-importados-para-animales-autorizados-por-monografia-de-proceso-o-por-habilitacion-directa/registros" TargetMode="External"/><Relationship Id="rId20" Type="http://schemas.openxmlformats.org/officeDocument/2006/relationships/hyperlink" Target="https://www.sag.gob.cl/sites/default/files/solicitud_modificacion_especies_productivas.doc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apostilla.gob.cl/" TargetMode="External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https://www.sag.gob.cl/ambitos-de-accion/importaciones-4/normativas?field_tipo_de_normativa_target_id=1778&amp;field_tema_relacionado_target_id=All&amp;field_estado_value=All&amp;field_n__value=4&amp;field_fecha_promulgaci_n_value=&amp;title=" TargetMode="External"/><Relationship Id="rId23" Type="http://schemas.openxmlformats.org/officeDocument/2006/relationships/footer" Target="footer1.xml"/><Relationship Id="rId10" Type="http://schemas.openxmlformats.org/officeDocument/2006/relationships/hyperlink" Target="mailto:alimentosanimales@sag.gob.cl" TargetMode="External"/><Relationship Id="rId19" Type="http://schemas.openxmlformats.org/officeDocument/2006/relationships/hyperlink" Target="mailto:alimentosanimales@sag.gob.c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ag.gob.cl/sites/default/files/Solicitud-evaluacion-documental-habilitaciones%20Alimentos.doc" TargetMode="External"/><Relationship Id="rId14" Type="http://schemas.openxmlformats.org/officeDocument/2006/relationships/hyperlink" Target="https://www.sag.gob.cl/ambitos-de-accion/importaciones-4/normativas?field_tipo_de_normativa_target_id=1778&amp;field_tema_relacionado_target_id=All&amp;field_estado_value=All&amp;field_n__value=4&amp;field_fecha_promulgaci_n_value=&amp;title=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1635</Words>
  <Characters>11295</Characters>
  <Application>Microsoft Office Word</Application>
  <DocSecurity>0</DocSecurity>
  <Lines>225</Lines>
  <Paragraphs>100</Paragraphs>
  <ScaleCrop>false</ScaleCrop>
  <Company/>
  <LinksUpToDate>false</LinksUpToDate>
  <CharactersWithSpaces>12850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Romina Angelica Alarcon Vidal</dc:creator>
  <cp:keywords/>
  <cp:lastModifiedBy>Natalia Topor</cp:lastModifiedBy>
  <cp:revision>5</cp:revision>
  <dcterms:created xsi:type="dcterms:W3CDTF">2025-12-19T10:02:00Z</dcterms:created>
  <dcterms:modified xsi:type="dcterms:W3CDTF">2025-12-22T16:07:00Z</dcterms:modified>
</cp:coreProperties>
</file>