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11312" w14:textId="77777777" w:rsidR="00632C48" w:rsidRPr="009301DF" w:rsidRDefault="00632C48">
      <w:pPr>
        <w:spacing w:line="1" w:lineRule="exact"/>
      </w:pPr>
    </w:p>
    <w:p w14:paraId="76857DB7" w14:textId="48D457C2" w:rsidR="00632C48" w:rsidRPr="009301DF" w:rsidRDefault="005F6F63" w:rsidP="00D66098">
      <w:pPr>
        <w:pStyle w:val="Podpisobrazu0"/>
        <w:framePr w:w="6818" w:h="2176" w:hRule="exact" w:wrap="none" w:vAnchor="page" w:hAnchor="page" w:x="3414" w:y="1854"/>
        <w:spacing w:after="0"/>
        <w:jc w:val="center"/>
        <w:rPr>
          <w:sz w:val="44"/>
          <w:szCs w:val="44"/>
        </w:rPr>
      </w:pPr>
      <w:r w:rsidRPr="009301DF">
        <w:rPr>
          <w:b/>
          <w:sz w:val="44"/>
        </w:rPr>
        <w:t>Wytyczne Zgodności FSIS</w:t>
      </w:r>
      <w:r w:rsidR="00A371E8">
        <w:rPr>
          <w:b/>
          <w:sz w:val="44"/>
        </w:rPr>
        <w:br/>
      </w:r>
      <w:r w:rsidRPr="009301DF">
        <w:rPr>
          <w:b/>
          <w:sz w:val="44"/>
        </w:rPr>
        <w:t>Walidacja systemów HACCP</w:t>
      </w:r>
      <w:r w:rsidR="00A371E8">
        <w:rPr>
          <w:b/>
          <w:sz w:val="44"/>
        </w:rPr>
        <w:br/>
      </w:r>
      <w:r w:rsidRPr="009301DF">
        <w:rPr>
          <w:b/>
          <w:sz w:val="44"/>
        </w:rPr>
        <w:t>Kwiecień 2015 r.</w:t>
      </w:r>
    </w:p>
    <w:p w14:paraId="7A34D00F" w14:textId="15378CDD" w:rsidR="00632C48" w:rsidRPr="009301DF" w:rsidRDefault="005F6F63" w:rsidP="00D66098">
      <w:pPr>
        <w:pStyle w:val="Podpisobrazu0"/>
        <w:framePr w:w="4291" w:h="9863" w:hRule="exact" w:wrap="none" w:vAnchor="page" w:hAnchor="page" w:x="7587" w:y="4902"/>
        <w:spacing w:after="260"/>
      </w:pPr>
      <w:r w:rsidRPr="009301DF">
        <w:t xml:space="preserve">Niniejsze wytyczne mają pomóc bardzo małym zakładom mięsnym i drobiarskim w spełnieniu wymogów wstępnej walidacji określonych w 9 CFR 417.4. </w:t>
      </w:r>
      <w:r w:rsidR="00A371E8">
        <w:br/>
      </w:r>
      <w:r w:rsidRPr="009301DF">
        <w:t>W szczególności wytyczne obejmują:</w:t>
      </w:r>
    </w:p>
    <w:p w14:paraId="571ED5F2" w14:textId="79040164" w:rsidR="00632C48" w:rsidRPr="009301DF" w:rsidRDefault="005F6F63" w:rsidP="00D66098">
      <w:pPr>
        <w:pStyle w:val="Podpisobrazu0"/>
        <w:framePr w:w="4291" w:h="9863" w:hRule="exact" w:wrap="none" w:vAnchor="page" w:hAnchor="page" w:x="7587" w:y="4902"/>
        <w:numPr>
          <w:ilvl w:val="0"/>
          <w:numId w:val="2"/>
        </w:numPr>
        <w:spacing w:after="260"/>
      </w:pPr>
      <w:r w:rsidRPr="009301DF">
        <w:t>Różnicę pomiędzy walidacją wstępną a weryfikacją bieżącą;</w:t>
      </w:r>
    </w:p>
    <w:p w14:paraId="5502808D" w14:textId="3CFCF0E6" w:rsidR="00632C48" w:rsidRPr="009301DF" w:rsidRDefault="005F6F63" w:rsidP="00D66098">
      <w:pPr>
        <w:pStyle w:val="Podpisobrazu0"/>
        <w:framePr w:w="4291" w:h="9863" w:hRule="exact" w:wrap="none" w:vAnchor="page" w:hAnchor="page" w:x="7587" w:y="4902"/>
        <w:numPr>
          <w:ilvl w:val="0"/>
          <w:numId w:val="2"/>
        </w:numPr>
        <w:spacing w:after="260" w:line="286" w:lineRule="auto"/>
      </w:pPr>
      <w:r w:rsidRPr="009301DF">
        <w:t>Jak zidentyfikować wsparcie naukowe istotne dla ich procesu;</w:t>
      </w:r>
    </w:p>
    <w:p w14:paraId="5C0A80AE" w14:textId="4EB2843E" w:rsidR="00632C48" w:rsidRPr="009301DF" w:rsidRDefault="005F6F63" w:rsidP="00D66098">
      <w:pPr>
        <w:pStyle w:val="Podpisobrazu0"/>
        <w:framePr w:w="4291" w:h="9863" w:hRule="exact" w:wrap="none" w:vAnchor="page" w:hAnchor="page" w:x="7587" w:y="4902"/>
        <w:numPr>
          <w:ilvl w:val="0"/>
          <w:numId w:val="2"/>
        </w:numPr>
        <w:spacing w:after="320"/>
      </w:pPr>
      <w:r w:rsidRPr="009301DF">
        <w:t>Co to są krytyczne parametry operacyjne i jak je zidentyfikować we wsparciu naukowym lub technicznym;</w:t>
      </w:r>
    </w:p>
    <w:p w14:paraId="19F77CCA" w14:textId="31880C73" w:rsidR="00632C48" w:rsidRPr="009301DF" w:rsidRDefault="005F6F63" w:rsidP="00D66098">
      <w:pPr>
        <w:pStyle w:val="Podpisobrazu0"/>
        <w:framePr w:w="4291" w:h="9863" w:hRule="exact" w:wrap="none" w:vAnchor="page" w:hAnchor="page" w:x="7587" w:y="4902"/>
        <w:numPr>
          <w:ilvl w:val="0"/>
          <w:numId w:val="2"/>
        </w:numPr>
        <w:spacing w:after="320"/>
      </w:pPr>
      <w:r w:rsidRPr="009301DF">
        <w:t>Jak wykazać, że krytyczne parametry operacyjne są spełnione podczas wstępnej walidacji (tj. poprzez gromadzenie danych walidacyjnych w zakładzie); oraz</w:t>
      </w:r>
    </w:p>
    <w:p w14:paraId="467B023C" w14:textId="4B526E05" w:rsidR="00632C48" w:rsidRPr="009301DF" w:rsidRDefault="005F6F63" w:rsidP="00D66098">
      <w:pPr>
        <w:pStyle w:val="Podpisobrazu0"/>
        <w:framePr w:w="4291" w:h="9863" w:hRule="exact" w:wrap="none" w:vAnchor="page" w:hAnchor="page" w:x="7587" w:y="4902"/>
        <w:numPr>
          <w:ilvl w:val="0"/>
          <w:numId w:val="2"/>
        </w:numPr>
        <w:spacing w:after="0"/>
      </w:pPr>
      <w:r w:rsidRPr="009301DF">
        <w:t>W jaki sposób działający zakład może włączyć te wytyczne do swojego systemu HACCP.</w:t>
      </w:r>
    </w:p>
    <w:p w14:paraId="7811A21E"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0" behindDoc="1" locked="0" layoutInCell="1" allowOverlap="1" wp14:anchorId="01806B16" wp14:editId="3698D52E">
            <wp:simplePos x="0" y="0"/>
            <wp:positionH relativeFrom="page">
              <wp:posOffset>77470</wp:posOffset>
            </wp:positionH>
            <wp:positionV relativeFrom="page">
              <wp:posOffset>100330</wp:posOffset>
            </wp:positionV>
            <wp:extent cx="7772400" cy="10058400"/>
            <wp:effectExtent l="0" t="0" r="0" b="0"/>
            <wp:wrapNone/>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7"/>
                    <a:stretch/>
                  </pic:blipFill>
                  <pic:spPr>
                    <a:xfrm>
                      <a:off x="0" y="0"/>
                      <a:ext cx="7772400" cy="10058400"/>
                    </a:xfrm>
                    <a:prstGeom prst="rect">
                      <a:avLst/>
                    </a:prstGeom>
                  </pic:spPr>
                </pic:pic>
              </a:graphicData>
            </a:graphic>
          </wp:anchor>
        </w:drawing>
      </w:r>
    </w:p>
    <w:p w14:paraId="57854F6F" w14:textId="77777777" w:rsidR="00632C48" w:rsidRPr="009301DF" w:rsidRDefault="00632C48">
      <w:pPr>
        <w:spacing w:line="1" w:lineRule="exact"/>
      </w:pPr>
    </w:p>
    <w:p w14:paraId="30453CF4" w14:textId="77777777" w:rsidR="00632C48" w:rsidRPr="009301DF" w:rsidRDefault="005F6F63" w:rsidP="00D66098">
      <w:pPr>
        <w:pStyle w:val="Teksttreci0"/>
        <w:framePr w:w="9509" w:h="11153" w:hRule="exact" w:wrap="none" w:vAnchor="page" w:hAnchor="page" w:x="1482" w:y="1661"/>
      </w:pPr>
      <w:r w:rsidRPr="009301DF">
        <w:t>Niniejsze wytyczne zgodności są zgodne z procedurami dla dokumentów zawierających wytyczne zawartymi w „Biuletynie Wytycznych dla Dobrych Praktyk Agencji” (</w:t>
      </w:r>
      <w:r w:rsidRPr="009301DF">
        <w:rPr>
          <w:i/>
          <w:iCs/>
        </w:rPr>
        <w:t>Final Bulletin for Agency Good Guidance Practices - GGP</w:t>
      </w:r>
      <w:r w:rsidRPr="009301DF">
        <w:t>) Biura Zarządzania i Budżetu (</w:t>
      </w:r>
      <w:r w:rsidRPr="009301DF">
        <w:rPr>
          <w:i/>
          <w:iCs/>
        </w:rPr>
        <w:t>Office of Management and Budget - OMB</w:t>
      </w:r>
      <w:r w:rsidRPr="009301DF">
        <w:t>). Więcej informacji można znaleźć na</w:t>
      </w:r>
      <w:hyperlink r:id="rId8" w:history="1">
        <w:r w:rsidRPr="009301DF">
          <w:t xml:space="preserve"> </w:t>
        </w:r>
        <w:r w:rsidRPr="009301DF">
          <w:rPr>
            <w:color w:val="0000FF"/>
            <w:u w:val="single"/>
          </w:rPr>
          <w:t>stronie internetowej</w:t>
        </w:r>
      </w:hyperlink>
      <w:r w:rsidRPr="009301DF">
        <w:t xml:space="preserve"> Służby Bezpieczeństwa i Inspekcji Żywności (</w:t>
      </w:r>
      <w:r w:rsidRPr="009301DF">
        <w:rPr>
          <w:i/>
          <w:iCs/>
        </w:rPr>
        <w:t>Food Safety and Inspection Service - FSiS</w:t>
      </w:r>
      <w:r w:rsidRPr="009301DF">
        <w:t>).</w:t>
      </w:r>
    </w:p>
    <w:p w14:paraId="6B401822" w14:textId="77777777" w:rsidR="00632C48" w:rsidRPr="009301DF" w:rsidRDefault="005F6F63" w:rsidP="00D66098">
      <w:pPr>
        <w:pStyle w:val="Teksttreci0"/>
        <w:framePr w:w="9509" w:h="11153" w:hRule="exact" w:wrap="none" w:vAnchor="page" w:hAnchor="page" w:x="1482" w:y="1661"/>
      </w:pPr>
      <w:r w:rsidRPr="009301DF">
        <w:t xml:space="preserve">Niniejsze wytyczne zostały zmienione w odpowiedzi na komentarze opinii publicznej. Podsumowanie otrzymanych komentarzy i odpowiedzi można znaleźć na stronie </w:t>
      </w:r>
      <w:hyperlink r:id="rId9" w:history="1">
        <w:r w:rsidRPr="009301DF">
          <w:rPr>
            <w:color w:val="0000FF"/>
            <w:u w:val="single"/>
          </w:rPr>
          <w:t>http://www.fsis.usda.gov/wps/wcm/connect/3ba826ec-6e79-4f17-85fc-</w:t>
        </w:r>
      </w:hyperlink>
      <w:r w:rsidRPr="009301DF">
        <w:rPr>
          <w:color w:val="0000FF"/>
          <w:u w:val="single"/>
        </w:rPr>
        <w:t xml:space="preserve"> </w:t>
      </w:r>
      <w:hyperlink r:id="rId10" w:history="1">
        <w:r w:rsidRPr="009301DF">
          <w:rPr>
            <w:color w:val="0000FF"/>
            <w:u w:val="single"/>
          </w:rPr>
          <w:t>29200f4e8d05/2009-0019-2015.pdf?MOD=AJPERES</w:t>
        </w:r>
        <w:r w:rsidRPr="009301DF">
          <w:t>.</w:t>
        </w:r>
      </w:hyperlink>
      <w:r w:rsidRPr="009301DF">
        <w:t xml:space="preserve"> Należy zauważyć, że niniejsze wytyczne reprezentują aktualny sposób myślenia FSIS na ten temat i powinny być uważane za użyteczne od momentu ich wydania.</w:t>
      </w:r>
    </w:p>
    <w:p w14:paraId="14EAB2BC" w14:textId="77777777" w:rsidR="00632C48" w:rsidRPr="009301DF" w:rsidRDefault="005F6F63" w:rsidP="00D66098">
      <w:pPr>
        <w:pStyle w:val="Nagwek10"/>
        <w:framePr w:w="9509" w:h="11153" w:hRule="exact" w:wrap="none" w:vAnchor="page" w:hAnchor="page" w:x="1482" w:y="1661"/>
      </w:pPr>
      <w:bookmarkStart w:id="0" w:name="bookmark0"/>
      <w:r w:rsidRPr="009301DF">
        <w:t>Cel</w:t>
      </w:r>
      <w:bookmarkEnd w:id="0"/>
    </w:p>
    <w:p w14:paraId="0AD79CCF" w14:textId="77777777" w:rsidR="00632C48" w:rsidRPr="009301DF" w:rsidRDefault="005F6F63" w:rsidP="00D66098">
      <w:pPr>
        <w:pStyle w:val="Teksttreci0"/>
        <w:framePr w:w="9509" w:h="11153" w:hRule="exact" w:wrap="none" w:vAnchor="page" w:hAnchor="page" w:x="1482" w:y="1661"/>
      </w:pPr>
      <w:bookmarkStart w:id="1" w:name="bookmark2"/>
      <w:r w:rsidRPr="009301DF">
        <w:t xml:space="preserve">Celem niniejszych wytycznych jest pomoc małym i bardzo małym zakładom w spełnieniu wymogów wstępnej walidacji określonych w 9 CFR 417.4. Niniejszy dokument zawiera </w:t>
      </w:r>
      <w:r w:rsidRPr="009301DF">
        <w:rPr>
          <w:b/>
          <w:bCs/>
        </w:rPr>
        <w:t>wytyczne</w:t>
      </w:r>
      <w:r w:rsidRPr="009301DF">
        <w:t xml:space="preserve">, które mają pomóc zakładom spełnić wymagania przepisów FSIS. Wytyczne stanowią zalecenia FSIS dotyczące najlepszych praktyk, oparte na najlepszych przesłankach naukowych i praktycznych, i nie stanowią </w:t>
      </w:r>
      <w:r w:rsidRPr="009301DF">
        <w:rPr>
          <w:b/>
          <w:bCs/>
        </w:rPr>
        <w:t>wymagań</w:t>
      </w:r>
      <w:r w:rsidRPr="009301DF">
        <w:t>, które muszą zostać spełnione. Zakłady mogą zdecydować się na przyjęcie innych procedur niż te opisane w wytycznych, ale będą musiały uzasadnić, dlaczego są one skuteczne.</w:t>
      </w:r>
      <w:bookmarkEnd w:id="1"/>
    </w:p>
    <w:p w14:paraId="0CA761C2" w14:textId="77777777" w:rsidR="00632C48" w:rsidRPr="009301DF" w:rsidRDefault="005F6F63" w:rsidP="00D66098">
      <w:pPr>
        <w:pStyle w:val="Nagwek10"/>
        <w:framePr w:w="9509" w:h="11153" w:hRule="exact" w:wrap="none" w:vAnchor="page" w:hAnchor="page" w:x="1482" w:y="1661"/>
      </w:pPr>
      <w:r w:rsidRPr="009301DF">
        <w:t>Czy ta wersja wytycznych jest ostateczna?</w:t>
      </w:r>
    </w:p>
    <w:p w14:paraId="0C5DF791" w14:textId="77777777" w:rsidR="00632C48" w:rsidRPr="009301DF" w:rsidRDefault="005F6F63" w:rsidP="00D66098">
      <w:pPr>
        <w:pStyle w:val="Teksttreci0"/>
        <w:framePr w:w="9509" w:h="11153" w:hRule="exact" w:wrap="none" w:vAnchor="page" w:hAnchor="page" w:x="1482" w:y="1661"/>
      </w:pPr>
      <w:bookmarkStart w:id="2" w:name="bookmark4"/>
      <w:r w:rsidRPr="009301DF">
        <w:t xml:space="preserve">Tak, niniejsza wersja wytycznych z </w:t>
      </w:r>
      <w:r w:rsidRPr="009301DF">
        <w:rPr>
          <w:color w:val="1F497D"/>
        </w:rPr>
        <w:t xml:space="preserve">kwietnia 2015 r. </w:t>
      </w:r>
      <w:r w:rsidRPr="009301DF">
        <w:t>jest ostateczna. FSIS będzie aktualizować te wytyczne w razie potrzeby, jeśli pojawią się nowe informacje, chociaż komentarze dotyczące tych wytycznych nie będą już przyjmowane za pośrednictwem strony regulations.gov.</w:t>
      </w:r>
      <w:bookmarkEnd w:id="2"/>
    </w:p>
    <w:p w14:paraId="0BEF2FF9" w14:textId="77777777" w:rsidR="00632C48" w:rsidRPr="009301DF" w:rsidRDefault="005F6F63" w:rsidP="00D66098">
      <w:pPr>
        <w:pStyle w:val="Nagwek10"/>
        <w:framePr w:w="9509" w:h="11153" w:hRule="exact" w:wrap="none" w:vAnchor="page" w:hAnchor="page" w:x="1482" w:y="1661"/>
      </w:pPr>
      <w:r w:rsidRPr="009301DF">
        <w:t>Co zrobić, jeśli po przeczytaniu niniejszych wytycznych nadal mam pytania?</w:t>
      </w:r>
    </w:p>
    <w:p w14:paraId="72102312" w14:textId="77777777" w:rsidR="00632C48" w:rsidRPr="009301DF" w:rsidRDefault="005F6F63" w:rsidP="00D66098">
      <w:pPr>
        <w:pStyle w:val="Teksttreci0"/>
        <w:framePr w:w="9509" w:h="11153" w:hRule="exact" w:wrap="none" w:vAnchor="page" w:hAnchor="page" w:x="1482" w:y="1661"/>
      </w:pPr>
      <w:r w:rsidRPr="009301DF">
        <w:t>Jeśli żądanych informacji nie można znaleźć w Wytycznych Zgodności, FSIS zaleca użytkownikom przeszukanie publicznie opublikowanych pytań i odpowiedzi (</w:t>
      </w:r>
      <w:r w:rsidRPr="009301DF">
        <w:rPr>
          <w:i/>
          <w:iCs/>
        </w:rPr>
        <w:t>questions and answers - Q&amp;A</w:t>
      </w:r>
      <w:r w:rsidRPr="009301DF">
        <w:t xml:space="preserve">s) w sekcji </w:t>
      </w:r>
      <w:hyperlink r:id="rId11" w:history="1">
        <w:r w:rsidRPr="009301DF">
          <w:rPr>
            <w:color w:val="0000FF"/>
            <w:u w:val="single"/>
          </w:rPr>
          <w:t>AskFSIS</w:t>
        </w:r>
        <w:r w:rsidRPr="009301DF">
          <w:rPr>
            <w:color w:val="0000FF"/>
          </w:rPr>
          <w:t xml:space="preserve"> </w:t>
        </w:r>
      </w:hyperlink>
      <w:r w:rsidRPr="009301DF">
        <w:t>lub przesłanie pytań za pośrednictwem</w:t>
      </w:r>
      <w:hyperlink r:id="rId12" w:history="1">
        <w:r w:rsidRPr="009301DF">
          <w:t xml:space="preserve"> </w:t>
        </w:r>
        <w:r w:rsidRPr="009301DF">
          <w:rPr>
            <w:color w:val="0000FF"/>
            <w:u w:val="single"/>
          </w:rPr>
          <w:t>AskFSIS</w:t>
        </w:r>
        <w:r w:rsidRPr="009301DF">
          <w:t>.</w:t>
        </w:r>
      </w:hyperlink>
      <w:r w:rsidRPr="009301DF">
        <w:t xml:space="preserve"> Dokumentowanie tych pytań pomaga FSIS ulepszać i udoskonalać obecne i przyszłe wersje Wytycznych Zgodności i powiązanych z nimi publikacji.</w:t>
      </w:r>
    </w:p>
    <w:p w14:paraId="701E4B8B" w14:textId="77777777" w:rsidR="00632C48" w:rsidRPr="009301DF" w:rsidRDefault="005F6F63" w:rsidP="00D66098">
      <w:pPr>
        <w:pStyle w:val="Teksttreci0"/>
        <w:framePr w:w="9509" w:h="11153" w:hRule="exact" w:wrap="none" w:vAnchor="page" w:hAnchor="page" w:x="1482" w:y="1661"/>
        <w:spacing w:after="0"/>
      </w:pPr>
      <w:r w:rsidRPr="009301DF">
        <w:t>Przesyłając pytanie, skorzystaj z zakładki Prześlij pytanie (</w:t>
      </w:r>
      <w:r w:rsidRPr="009301DF">
        <w:rPr>
          <w:i/>
          <w:iCs/>
        </w:rPr>
        <w:t>Submit a Question</w:t>
      </w:r>
      <w:r w:rsidRPr="009301DF">
        <w:t>) i wprowadź w odpowiednich polach następujące informacje:</w:t>
      </w:r>
    </w:p>
    <w:tbl>
      <w:tblPr>
        <w:tblOverlap w:val="never"/>
        <w:tblW w:w="10388" w:type="dxa"/>
        <w:tblLayout w:type="fixed"/>
        <w:tblCellMar>
          <w:left w:w="10" w:type="dxa"/>
          <w:right w:w="10" w:type="dxa"/>
        </w:tblCellMar>
        <w:tblLook w:val="04A0" w:firstRow="1" w:lastRow="0" w:firstColumn="1" w:lastColumn="0" w:noHBand="0" w:noVBand="1"/>
      </w:tblPr>
      <w:tblGrid>
        <w:gridCol w:w="2235"/>
        <w:gridCol w:w="8153"/>
      </w:tblGrid>
      <w:tr w:rsidR="00632C48" w:rsidRPr="009301DF" w14:paraId="27DC5A78" w14:textId="77777777" w:rsidTr="009301DF">
        <w:trPr>
          <w:trHeight w:hRule="exact" w:val="573"/>
        </w:trPr>
        <w:tc>
          <w:tcPr>
            <w:tcW w:w="2235" w:type="dxa"/>
            <w:shd w:val="clear" w:color="auto" w:fill="auto"/>
            <w:vAlign w:val="bottom"/>
          </w:tcPr>
          <w:p w14:paraId="554503D0" w14:textId="77777777" w:rsidR="00632C48" w:rsidRPr="009301DF" w:rsidRDefault="005F6F63">
            <w:pPr>
              <w:pStyle w:val="Inne0"/>
              <w:framePr w:w="8674" w:h="1387" w:wrap="none" w:vAnchor="page" w:hAnchor="page" w:x="1549" w:y="12869"/>
              <w:spacing w:after="0"/>
            </w:pPr>
            <w:r w:rsidRPr="009301DF">
              <w:t>Zakres tematyczny (</w:t>
            </w:r>
            <w:r w:rsidRPr="009301DF">
              <w:rPr>
                <w:i/>
                <w:iCs/>
              </w:rPr>
              <w:t>Subject Field</w:t>
            </w:r>
            <w:r w:rsidRPr="009301DF">
              <w:t>):</w:t>
            </w:r>
          </w:p>
        </w:tc>
        <w:tc>
          <w:tcPr>
            <w:tcW w:w="8153" w:type="dxa"/>
            <w:shd w:val="clear" w:color="auto" w:fill="auto"/>
            <w:vAlign w:val="bottom"/>
          </w:tcPr>
          <w:p w14:paraId="53B02731" w14:textId="77777777" w:rsidR="00632C48" w:rsidRPr="009301DF" w:rsidRDefault="005F6F63">
            <w:pPr>
              <w:pStyle w:val="Inne0"/>
              <w:framePr w:w="8674" w:h="1387" w:wrap="none" w:vAnchor="page" w:hAnchor="page" w:x="1549" w:y="12869"/>
              <w:spacing w:after="0"/>
              <w:ind w:firstLine="300"/>
              <w:jc w:val="both"/>
            </w:pPr>
            <w:r w:rsidRPr="009301DF">
              <w:t xml:space="preserve">Wprowadź </w:t>
            </w:r>
            <w:r w:rsidRPr="009301DF">
              <w:rPr>
                <w:color w:val="1F497D"/>
              </w:rPr>
              <w:t>wytyczne dotyczące walidacji systemów HACCP</w:t>
            </w:r>
          </w:p>
        </w:tc>
      </w:tr>
      <w:tr w:rsidR="00632C48" w:rsidRPr="009301DF" w14:paraId="716214EC" w14:textId="77777777" w:rsidTr="009301DF">
        <w:trPr>
          <w:trHeight w:hRule="exact" w:val="592"/>
        </w:trPr>
        <w:tc>
          <w:tcPr>
            <w:tcW w:w="2235" w:type="dxa"/>
            <w:shd w:val="clear" w:color="auto" w:fill="auto"/>
            <w:vAlign w:val="bottom"/>
          </w:tcPr>
          <w:p w14:paraId="4B877500" w14:textId="77777777" w:rsidR="00632C48" w:rsidRPr="009301DF" w:rsidRDefault="005F6F63">
            <w:pPr>
              <w:pStyle w:val="Inne0"/>
              <w:framePr w:w="8674" w:h="1387" w:wrap="none" w:vAnchor="page" w:hAnchor="page" w:x="1549" w:y="12869"/>
              <w:spacing w:after="0"/>
            </w:pPr>
            <w:r w:rsidRPr="009301DF">
              <w:t>Pole pytań (</w:t>
            </w:r>
            <w:r w:rsidRPr="009301DF">
              <w:rPr>
                <w:i/>
                <w:iCs/>
              </w:rPr>
              <w:t>Question Field</w:t>
            </w:r>
            <w:r w:rsidRPr="009301DF">
              <w:t>):</w:t>
            </w:r>
          </w:p>
        </w:tc>
        <w:tc>
          <w:tcPr>
            <w:tcW w:w="8153" w:type="dxa"/>
            <w:shd w:val="clear" w:color="auto" w:fill="auto"/>
            <w:vAlign w:val="bottom"/>
          </w:tcPr>
          <w:p w14:paraId="26A05ED0" w14:textId="77777777" w:rsidR="00632C48" w:rsidRPr="009301DF" w:rsidRDefault="005F6F63">
            <w:pPr>
              <w:pStyle w:val="Inne0"/>
              <w:framePr w:w="8674" w:h="1387" w:wrap="none" w:vAnchor="page" w:hAnchor="page" w:x="1549" w:y="12869"/>
              <w:spacing w:after="0"/>
              <w:ind w:firstLine="300"/>
              <w:jc w:val="both"/>
            </w:pPr>
            <w:r w:rsidRPr="009301DF">
              <w:t>Wpisz pytanie, podając jak najwięcej szczegółów.</w:t>
            </w:r>
          </w:p>
        </w:tc>
      </w:tr>
      <w:tr w:rsidR="00632C48" w:rsidRPr="009301DF" w14:paraId="7B7D4F85" w14:textId="77777777" w:rsidTr="009301DF">
        <w:trPr>
          <w:trHeight w:hRule="exact" w:val="592"/>
        </w:trPr>
        <w:tc>
          <w:tcPr>
            <w:tcW w:w="2235" w:type="dxa"/>
            <w:shd w:val="clear" w:color="auto" w:fill="auto"/>
          </w:tcPr>
          <w:p w14:paraId="5AC986E3" w14:textId="77777777" w:rsidR="00632C48" w:rsidRPr="009301DF" w:rsidRDefault="005F6F63">
            <w:pPr>
              <w:pStyle w:val="Inne0"/>
              <w:framePr w:w="8674" w:h="1387" w:wrap="none" w:vAnchor="page" w:hAnchor="page" w:x="1549" w:y="12869"/>
              <w:spacing w:after="0"/>
            </w:pPr>
            <w:r w:rsidRPr="009301DF">
              <w:t>Pole produktu (</w:t>
            </w:r>
            <w:r w:rsidRPr="009301DF">
              <w:rPr>
                <w:i/>
                <w:iCs/>
              </w:rPr>
              <w:t>Product Field</w:t>
            </w:r>
            <w:r w:rsidRPr="009301DF">
              <w:t>):</w:t>
            </w:r>
          </w:p>
        </w:tc>
        <w:tc>
          <w:tcPr>
            <w:tcW w:w="8153" w:type="dxa"/>
            <w:shd w:val="clear" w:color="auto" w:fill="auto"/>
          </w:tcPr>
          <w:p w14:paraId="004894B3" w14:textId="77777777" w:rsidR="00632C48" w:rsidRPr="009301DF" w:rsidRDefault="005F6F63">
            <w:pPr>
              <w:pStyle w:val="Inne0"/>
              <w:framePr w:w="8674" w:h="1387" w:wrap="none" w:vAnchor="page" w:hAnchor="page" w:x="1549" w:y="12869"/>
              <w:spacing w:after="0"/>
              <w:ind w:firstLine="300"/>
              <w:jc w:val="both"/>
            </w:pPr>
            <w:r w:rsidRPr="009301DF">
              <w:t xml:space="preserve">Wybierz </w:t>
            </w:r>
            <w:r w:rsidRPr="009301DF">
              <w:rPr>
                <w:b/>
              </w:rPr>
              <w:t>Ogólne zasady inspekcji (</w:t>
            </w:r>
            <w:r w:rsidRPr="009301DF">
              <w:rPr>
                <w:b/>
                <w:i/>
                <w:iCs/>
              </w:rPr>
              <w:t>General Inspection Policy</w:t>
            </w:r>
            <w:r w:rsidRPr="009301DF">
              <w:rPr>
                <w:b/>
              </w:rPr>
              <w:t xml:space="preserve">) </w:t>
            </w:r>
            <w:r w:rsidRPr="009301DF">
              <w:t>z rozwijalnego menu</w:t>
            </w:r>
          </w:p>
        </w:tc>
      </w:tr>
      <w:tr w:rsidR="00632C48" w:rsidRPr="009301DF" w14:paraId="754B3CBE" w14:textId="77777777" w:rsidTr="009301DF">
        <w:trPr>
          <w:trHeight w:hRule="exact" w:val="592"/>
        </w:trPr>
        <w:tc>
          <w:tcPr>
            <w:tcW w:w="2235" w:type="dxa"/>
            <w:shd w:val="clear" w:color="auto" w:fill="auto"/>
            <w:vAlign w:val="bottom"/>
          </w:tcPr>
          <w:p w14:paraId="11609FE0" w14:textId="77777777" w:rsidR="00632C48" w:rsidRPr="009301DF" w:rsidRDefault="005F6F63">
            <w:pPr>
              <w:pStyle w:val="Inne0"/>
              <w:framePr w:w="8674" w:h="1387" w:wrap="none" w:vAnchor="page" w:hAnchor="page" w:x="1549" w:y="12869"/>
              <w:spacing w:after="0"/>
            </w:pPr>
            <w:r w:rsidRPr="009301DF">
              <w:t>Pole kategorii (</w:t>
            </w:r>
            <w:r w:rsidRPr="009301DF">
              <w:rPr>
                <w:i/>
                <w:iCs/>
              </w:rPr>
              <w:t>Category Field</w:t>
            </w:r>
            <w:r w:rsidRPr="009301DF">
              <w:t>):</w:t>
            </w:r>
          </w:p>
        </w:tc>
        <w:tc>
          <w:tcPr>
            <w:tcW w:w="8153" w:type="dxa"/>
            <w:shd w:val="clear" w:color="auto" w:fill="auto"/>
            <w:vAlign w:val="bottom"/>
          </w:tcPr>
          <w:p w14:paraId="42E20E4B" w14:textId="77777777" w:rsidR="00632C48" w:rsidRPr="009301DF" w:rsidRDefault="005F6F63">
            <w:pPr>
              <w:pStyle w:val="Inne0"/>
              <w:framePr w:w="8674" w:h="1387" w:wrap="none" w:vAnchor="page" w:hAnchor="page" w:x="1549" w:y="12869"/>
              <w:spacing w:after="0"/>
              <w:ind w:firstLine="300"/>
              <w:jc w:val="both"/>
            </w:pPr>
            <w:r w:rsidRPr="009301DF">
              <w:t xml:space="preserve">Wybierz opcję </w:t>
            </w:r>
            <w:r w:rsidRPr="009301DF">
              <w:rPr>
                <w:b/>
                <w:bCs/>
              </w:rPr>
              <w:t>Sampling</w:t>
            </w:r>
            <w:r w:rsidRPr="009301DF">
              <w:t xml:space="preserve"> z rozwijalnego menu</w:t>
            </w:r>
          </w:p>
        </w:tc>
      </w:tr>
      <w:tr w:rsidR="00632C48" w:rsidRPr="009301DF" w14:paraId="3E50A747" w14:textId="77777777" w:rsidTr="009301DF">
        <w:trPr>
          <w:trHeight w:hRule="exact" w:val="603"/>
        </w:trPr>
        <w:tc>
          <w:tcPr>
            <w:tcW w:w="2235" w:type="dxa"/>
            <w:shd w:val="clear" w:color="auto" w:fill="auto"/>
          </w:tcPr>
          <w:p w14:paraId="62663BA2" w14:textId="77777777" w:rsidR="00632C48" w:rsidRPr="009301DF" w:rsidRDefault="005F6F63">
            <w:pPr>
              <w:pStyle w:val="Inne0"/>
              <w:framePr w:w="8674" w:h="1387" w:wrap="none" w:vAnchor="page" w:hAnchor="page" w:x="1549" w:y="12869"/>
              <w:spacing w:after="0"/>
            </w:pPr>
            <w:r w:rsidRPr="009301DF">
              <w:t>Arena polityki (Policy Arena):</w:t>
            </w:r>
          </w:p>
        </w:tc>
        <w:tc>
          <w:tcPr>
            <w:tcW w:w="8153" w:type="dxa"/>
            <w:shd w:val="clear" w:color="auto" w:fill="auto"/>
          </w:tcPr>
          <w:p w14:paraId="070AA460" w14:textId="77777777" w:rsidR="00632C48" w:rsidRPr="009301DF" w:rsidRDefault="005F6F63">
            <w:pPr>
              <w:pStyle w:val="Inne0"/>
              <w:framePr w:w="8674" w:h="1387" w:wrap="none" w:vAnchor="page" w:hAnchor="page" w:x="1549" w:y="12869"/>
              <w:spacing w:after="0"/>
              <w:ind w:firstLine="300"/>
            </w:pPr>
            <w:r w:rsidRPr="009301DF">
              <w:t xml:space="preserve">Z rozwijanego menu wybierz opcję </w:t>
            </w:r>
            <w:r w:rsidRPr="009301DF">
              <w:rPr>
                <w:b/>
              </w:rPr>
              <w:t>Tylko krajowe (USA) (</w:t>
            </w:r>
            <w:r w:rsidRPr="009301DF">
              <w:rPr>
                <w:b/>
                <w:i/>
                <w:iCs/>
              </w:rPr>
              <w:t>Domestic (U.S.) Only</w:t>
            </w:r>
            <w:r w:rsidRPr="009301DF">
              <w:rPr>
                <w:b/>
              </w:rPr>
              <w:t>).</w:t>
            </w:r>
          </w:p>
        </w:tc>
      </w:tr>
    </w:tbl>
    <w:p w14:paraId="372E35AC"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02CDCA06" w14:textId="77777777" w:rsidR="00632C48" w:rsidRPr="009301DF" w:rsidRDefault="00632C48">
      <w:pPr>
        <w:spacing w:line="1" w:lineRule="exact"/>
      </w:pPr>
    </w:p>
    <w:p w14:paraId="2BCC070C" w14:textId="77777777" w:rsidR="00632C48" w:rsidRPr="009301DF" w:rsidRDefault="005F6F63">
      <w:pPr>
        <w:pStyle w:val="Teksttreci0"/>
        <w:framePr w:w="9509" w:h="11592" w:hRule="exact" w:wrap="none" w:vAnchor="page" w:hAnchor="page" w:x="1482" w:y="1661"/>
        <w:spacing w:after="720"/>
      </w:pPr>
      <w:r w:rsidRPr="009301DF">
        <w:t xml:space="preserve">Po wypełnieniu wszystkich pól naciśnij przycisk </w:t>
      </w:r>
      <w:r w:rsidRPr="009301DF">
        <w:rPr>
          <w:b/>
        </w:rPr>
        <w:t>Kontynuuj (</w:t>
      </w:r>
      <w:r w:rsidRPr="009301DF">
        <w:rPr>
          <w:b/>
          <w:i/>
          <w:iCs/>
        </w:rPr>
        <w:t>Continue</w:t>
      </w:r>
      <w:r w:rsidRPr="009301DF">
        <w:rPr>
          <w:b/>
        </w:rPr>
        <w:t>)</w:t>
      </w:r>
      <w:r w:rsidRPr="009301DF">
        <w:t>.</w:t>
      </w:r>
    </w:p>
    <w:p w14:paraId="4D371A0C" w14:textId="77777777" w:rsidR="00632C48" w:rsidRPr="009301DF" w:rsidRDefault="005F6F63">
      <w:pPr>
        <w:pStyle w:val="Teksttreci40"/>
        <w:framePr w:w="9509" w:h="11592" w:hRule="exact" w:wrap="none" w:vAnchor="page" w:hAnchor="page" w:x="1482" w:y="1661"/>
      </w:pPr>
      <w:r w:rsidRPr="009301DF">
        <w:t>Spis treści</w:t>
      </w:r>
    </w:p>
    <w:p w14:paraId="55EF222A" w14:textId="77777777" w:rsidR="00632C48" w:rsidRPr="009301DF" w:rsidRDefault="005F6F63">
      <w:pPr>
        <w:pStyle w:val="Teksttreci0"/>
        <w:framePr w:w="9509" w:h="11592" w:hRule="exact" w:wrap="none" w:vAnchor="page" w:hAnchor="page" w:x="1482" w:y="1661"/>
        <w:tabs>
          <w:tab w:val="left" w:leader="dot" w:pos="9122"/>
        </w:tabs>
        <w:spacing w:after="80"/>
        <w:jc w:val="both"/>
      </w:pPr>
      <w:hyperlink w:anchor="bookmark0" w:tooltip="Current Document">
        <w:r w:rsidRPr="009301DF">
          <w:t>Cel</w:t>
        </w:r>
        <w:r w:rsidRPr="009301DF">
          <w:tab/>
          <w:t>ii</w:t>
        </w:r>
      </w:hyperlink>
    </w:p>
    <w:p w14:paraId="51FE7D00" w14:textId="77777777" w:rsidR="00632C48" w:rsidRPr="009301DF" w:rsidRDefault="005F6F63">
      <w:pPr>
        <w:pStyle w:val="Teksttreci0"/>
        <w:framePr w:w="9509" w:h="11592" w:hRule="exact" w:wrap="none" w:vAnchor="page" w:hAnchor="page" w:x="1482" w:y="1661"/>
        <w:tabs>
          <w:tab w:val="left" w:leader="dot" w:pos="9122"/>
        </w:tabs>
        <w:spacing w:after="80"/>
        <w:jc w:val="both"/>
      </w:pPr>
      <w:hyperlink w:anchor="bookmark2" w:tooltip="Current Document">
        <w:r w:rsidRPr="009301DF">
          <w:t>Czy ta wersja wytycznych jest ostateczna?</w:t>
        </w:r>
        <w:r w:rsidRPr="009301DF">
          <w:tab/>
          <w:t>ii</w:t>
        </w:r>
      </w:hyperlink>
    </w:p>
    <w:p w14:paraId="2B0E3760" w14:textId="3C6129BA" w:rsidR="00632C48" w:rsidRPr="009301DF" w:rsidRDefault="005F6F63">
      <w:pPr>
        <w:pStyle w:val="Teksttreci0"/>
        <w:framePr w:w="9509" w:h="11592" w:hRule="exact" w:wrap="none" w:vAnchor="page" w:hAnchor="page" w:x="1482" w:y="1661"/>
        <w:tabs>
          <w:tab w:val="right" w:leader="dot" w:pos="9329"/>
        </w:tabs>
        <w:spacing w:after="80"/>
        <w:jc w:val="both"/>
      </w:pPr>
      <w:hyperlink w:anchor="bookmark4" w:tooltip="Current Document">
        <w:r w:rsidRPr="009301DF">
          <w:t>Co zrobić, jeśli po przeczytaniu niniejszych wytycznych nadal mam pytania?</w:t>
        </w:r>
        <w:r w:rsidR="00A371E8">
          <w:tab/>
        </w:r>
        <w:r w:rsidRPr="009301DF">
          <w:t>ii</w:t>
        </w:r>
      </w:hyperlink>
    </w:p>
    <w:p w14:paraId="5B6F3790" w14:textId="77777777" w:rsidR="00632C48" w:rsidRPr="009301DF" w:rsidRDefault="005F6F63">
      <w:pPr>
        <w:pStyle w:val="Teksttreci0"/>
        <w:framePr w:w="9509" w:h="11592" w:hRule="exact" w:wrap="none" w:vAnchor="page" w:hAnchor="page" w:x="1482" w:y="1661"/>
        <w:tabs>
          <w:tab w:val="right" w:leader="dot" w:pos="9329"/>
        </w:tabs>
        <w:spacing w:after="80"/>
        <w:jc w:val="both"/>
      </w:pPr>
      <w:hyperlink w:anchor="bookmark6" w:tooltip="Current Document">
        <w:r w:rsidRPr="009301DF">
          <w:t>Dla kogo przeznaczone są niniejsze wytyczne?</w:t>
        </w:r>
      </w:hyperlink>
      <w:hyperlink w:anchor="bookmark6" w:tooltip="Current Document">
        <w:r w:rsidRPr="009301DF">
          <w:tab/>
          <w:t>1</w:t>
        </w:r>
      </w:hyperlink>
    </w:p>
    <w:p w14:paraId="54B37969" w14:textId="77777777" w:rsidR="00632C48" w:rsidRPr="009301DF" w:rsidRDefault="005F6F63">
      <w:pPr>
        <w:pStyle w:val="Teksttreci0"/>
        <w:framePr w:w="9509" w:h="11592" w:hRule="exact" w:wrap="none" w:vAnchor="page" w:hAnchor="page" w:x="1482" w:y="1661"/>
        <w:tabs>
          <w:tab w:val="left" w:leader="dot" w:pos="9122"/>
        </w:tabs>
        <w:spacing w:after="80"/>
        <w:jc w:val="both"/>
      </w:pPr>
      <w:hyperlink w:anchor="bookmark8" w:tooltip="Current Document">
        <w:r w:rsidRPr="009301DF">
          <w:t>Dlaczego FSIS opracowała niniejsze wytyczne?</w:t>
        </w:r>
      </w:hyperlink>
      <w:hyperlink w:anchor="bookmark8" w:tooltip="Current Document">
        <w:r w:rsidRPr="009301DF">
          <w:tab/>
          <w:t>1</w:t>
        </w:r>
      </w:hyperlink>
    </w:p>
    <w:p w14:paraId="044592C8" w14:textId="77777777" w:rsidR="00632C48" w:rsidRPr="009301DF" w:rsidRDefault="005F6F63">
      <w:pPr>
        <w:pStyle w:val="Teksttreci0"/>
        <w:framePr w:w="9509" w:h="11592" w:hRule="exact" w:wrap="none" w:vAnchor="page" w:hAnchor="page" w:x="1482" w:y="1661"/>
        <w:tabs>
          <w:tab w:val="left" w:leader="dot" w:pos="9122"/>
        </w:tabs>
        <w:spacing w:after="80"/>
      </w:pPr>
      <w:hyperlink w:anchor="bookmark10" w:tooltip="Current Document">
        <w:r w:rsidRPr="009301DF">
          <w:t xml:space="preserve">Jakich pojęć i umiejętności nauczą się małe i bardzo małe zakłady dzięki niniejszym </w:t>
        </w:r>
      </w:hyperlink>
      <w:r w:rsidRPr="009301DF">
        <w:t xml:space="preserve"> </w:t>
      </w:r>
      <w:hyperlink w:anchor="bookmark10" w:tooltip="Current Document">
        <w:r w:rsidRPr="009301DF">
          <w:t>wytycznym?</w:t>
        </w:r>
      </w:hyperlink>
      <w:hyperlink w:anchor="bookmark10" w:tooltip="Current Document">
        <w:r w:rsidRPr="009301DF">
          <w:tab/>
          <w:t>2</w:t>
        </w:r>
      </w:hyperlink>
    </w:p>
    <w:p w14:paraId="7C1CA9C4"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12" w:tooltip="Current Document">
        <w:r w:rsidRPr="009301DF">
          <w:t>Jaka jest historia walidacji w kontekście przepisów HACCP?</w:t>
        </w:r>
      </w:hyperlink>
      <w:hyperlink w:anchor="bookmark12" w:tooltip="Current Document">
        <w:r w:rsidRPr="009301DF">
          <w:tab/>
          <w:t>2</w:t>
        </w:r>
      </w:hyperlink>
    </w:p>
    <w:p w14:paraId="72A9BD5C" w14:textId="77777777" w:rsidR="00632C48" w:rsidRPr="009301DF" w:rsidRDefault="005F6F63">
      <w:pPr>
        <w:pStyle w:val="Teksttreci0"/>
        <w:framePr w:w="9509" w:h="11592" w:hRule="exact" w:wrap="none" w:vAnchor="page" w:hAnchor="page" w:x="1482" w:y="1661"/>
        <w:tabs>
          <w:tab w:val="left" w:leader="dot" w:pos="9122"/>
        </w:tabs>
        <w:spacing w:after="80"/>
      </w:pPr>
      <w:hyperlink w:anchor="bookmark14" w:tooltip="Current Document">
        <w:r w:rsidRPr="009301DF">
          <w:t>Czym jest walidacja systemu HACCP?</w:t>
        </w:r>
      </w:hyperlink>
      <w:hyperlink w:anchor="bookmark14" w:tooltip="Current Document">
        <w:r w:rsidRPr="009301DF">
          <w:tab/>
          <w:t>4</w:t>
        </w:r>
      </w:hyperlink>
    </w:p>
    <w:p w14:paraId="74D267AF" w14:textId="77777777" w:rsidR="00632C48" w:rsidRPr="009301DF" w:rsidRDefault="005F6F63">
      <w:pPr>
        <w:pStyle w:val="Teksttreci0"/>
        <w:framePr w:w="9509" w:h="11592" w:hRule="exact" w:wrap="none" w:vAnchor="page" w:hAnchor="page" w:x="1482" w:y="1661"/>
        <w:tabs>
          <w:tab w:val="left" w:leader="dot" w:pos="9122"/>
        </w:tabs>
        <w:spacing w:after="80"/>
      </w:pPr>
      <w:hyperlink w:anchor="bookmark16" w:tooltip="Current Document">
        <w:r w:rsidRPr="009301DF">
          <w:t>Jaka jest definicja systemu HACCP i czy programy warunków wstępnych muszą być</w:t>
        </w:r>
      </w:hyperlink>
      <w:r w:rsidRPr="009301DF">
        <w:t xml:space="preserve"> </w:t>
      </w:r>
      <w:hyperlink w:anchor="bookmark16" w:tooltip="Current Document">
        <w:r w:rsidRPr="009301DF">
          <w:t>walidowane?</w:t>
        </w:r>
      </w:hyperlink>
      <w:hyperlink w:anchor="bookmark16" w:tooltip="Current Document">
        <w:r w:rsidRPr="009301DF">
          <w:tab/>
          <w:t>5</w:t>
        </w:r>
      </w:hyperlink>
    </w:p>
    <w:p w14:paraId="46E088C1"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18" w:tooltip="Current Document">
        <w:r w:rsidRPr="009301DF">
          <w:t>Jaki jest pierwszy element walidacji systemów HACCP?</w:t>
        </w:r>
      </w:hyperlink>
      <w:hyperlink w:anchor="bookmark18" w:tooltip="Current Document">
        <w:r w:rsidRPr="009301DF">
          <w:tab/>
          <w:t>6</w:t>
        </w:r>
      </w:hyperlink>
    </w:p>
    <w:p w14:paraId="2EEB2869"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22" w:tooltip="Current Document">
        <w:r w:rsidRPr="009301DF">
          <w:t>Jaki jest drugi element walidacji systemów HACCP?</w:t>
        </w:r>
      </w:hyperlink>
      <w:hyperlink w:anchor="bookmark22" w:tooltip="Current Document">
        <w:r w:rsidRPr="009301DF">
          <w:tab/>
          <w:t>20</w:t>
        </w:r>
      </w:hyperlink>
    </w:p>
    <w:p w14:paraId="0E7A04E3"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24" w:tooltip="Current Document">
        <w:r w:rsidRPr="009301DF">
          <w:t>Jak długo placówka musi przeprowadzić wstępną walidację (elementy 1 i 2)?</w:t>
        </w:r>
      </w:hyperlink>
      <w:r w:rsidRPr="009301DF">
        <w:t xml:space="preserve"> </w:t>
      </w:r>
      <w:hyperlink w:anchor="bookmark24" w:tooltip="Current Document">
        <w:r w:rsidRPr="009301DF">
          <w:tab/>
          <w:t xml:space="preserve"> 26</w:t>
        </w:r>
      </w:hyperlink>
    </w:p>
    <w:p w14:paraId="7A1A298A"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26" w:tooltip="Current Document">
        <w:r w:rsidRPr="009301DF">
          <w:t xml:space="preserve">Jakie rodzaje dokumentacji są dokumentami walidacyjnymi i jak długo zakład powinien </w:t>
        </w:r>
      </w:hyperlink>
      <w:r w:rsidRPr="009301DF">
        <w:t xml:space="preserve"> </w:t>
      </w:r>
      <w:hyperlink w:anchor="bookmark26" w:tooltip="Current Document">
        <w:r w:rsidRPr="009301DF">
          <w:t>je przechowywać?</w:t>
        </w:r>
      </w:hyperlink>
      <w:hyperlink w:anchor="bookmark26" w:tooltip="Current Document">
        <w:r w:rsidRPr="009301DF">
          <w:tab/>
          <w:t>28</w:t>
        </w:r>
      </w:hyperlink>
    </w:p>
    <w:p w14:paraId="58B8925C" w14:textId="77777777" w:rsidR="00632C48" w:rsidRPr="009301DF" w:rsidRDefault="005F6F63">
      <w:pPr>
        <w:pStyle w:val="Teksttreci0"/>
        <w:framePr w:w="9509" w:h="11592" w:hRule="exact" w:wrap="none" w:vAnchor="page" w:hAnchor="page" w:x="1482" w:y="1661"/>
        <w:tabs>
          <w:tab w:val="right" w:leader="dot" w:pos="9329"/>
        </w:tabs>
        <w:spacing w:after="80"/>
        <w:jc w:val="both"/>
      </w:pPr>
      <w:hyperlink w:anchor="bookmark27" w:tooltip="Current Document">
        <w:r w:rsidRPr="009301DF">
          <w:tab/>
          <w:t>28</w:t>
        </w:r>
      </w:hyperlink>
    </w:p>
    <w:p w14:paraId="3BD3BDBF"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29" w:tooltip="Current Document">
        <w:r w:rsidRPr="009301DF">
          <w:t>Jaka jest różnica pomiędzy wstępną walidacją a bieżącą weryfikacją i co się</w:t>
        </w:r>
      </w:hyperlink>
      <w:r w:rsidRPr="009301DF">
        <w:t xml:space="preserve"> </w:t>
      </w:r>
      <w:hyperlink w:anchor="bookmark29" w:tooltip="Current Document">
        <w:r w:rsidRPr="009301DF">
          <w:t>dzieje się po zakończeniu okresu wstępnej walidacji?</w:t>
        </w:r>
      </w:hyperlink>
      <w:hyperlink w:anchor="bookmark29" w:tooltip="Current Document">
        <w:r w:rsidRPr="009301DF">
          <w:tab/>
          <w:t>29</w:t>
        </w:r>
      </w:hyperlink>
    </w:p>
    <w:p w14:paraId="4523188F"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31" w:tooltip="Current Document">
        <w:r w:rsidRPr="009301DF">
          <w:t>Odniesienia</w:t>
        </w:r>
        <w:r w:rsidRPr="009301DF">
          <w:tab/>
          <w:t>35</w:t>
        </w:r>
      </w:hyperlink>
    </w:p>
    <w:p w14:paraId="6E720D6C" w14:textId="77777777" w:rsidR="00632C48" w:rsidRPr="009301DF" w:rsidRDefault="005F6F63">
      <w:pPr>
        <w:pStyle w:val="Teksttreci0"/>
        <w:framePr w:w="9509" w:h="11592" w:hRule="exact" w:wrap="none" w:vAnchor="page" w:hAnchor="page" w:x="1482" w:y="1661"/>
        <w:tabs>
          <w:tab w:val="right" w:leader="dot" w:pos="9329"/>
        </w:tabs>
        <w:spacing w:after="80"/>
      </w:pPr>
      <w:hyperlink w:anchor="bookmark33" w:tooltip="Current Document">
        <w:r w:rsidRPr="009301DF">
          <w:t>Użyteczne linki</w:t>
        </w:r>
        <w:r w:rsidRPr="009301DF">
          <w:tab/>
          <w:t>35</w:t>
        </w:r>
      </w:hyperlink>
    </w:p>
    <w:p w14:paraId="2879E285" w14:textId="4249285F" w:rsidR="00632C48" w:rsidRPr="009301DF" w:rsidRDefault="005F6F63" w:rsidP="00A371E8">
      <w:pPr>
        <w:pStyle w:val="Teksttreci0"/>
        <w:framePr w:w="9509" w:h="11592" w:hRule="exact" w:wrap="none" w:vAnchor="page" w:hAnchor="page" w:x="1482" w:y="1661"/>
        <w:tabs>
          <w:tab w:val="left" w:pos="426"/>
          <w:tab w:val="left" w:leader="dot" w:pos="9122"/>
        </w:tabs>
        <w:spacing w:after="80"/>
      </w:pPr>
      <w:hyperlink w:anchor="bookmark35" w:tooltip="Current Document">
        <w:r w:rsidRPr="009301DF">
          <w:t>Załącznik 1:</w:t>
        </w:r>
      </w:hyperlink>
      <w:hyperlink w:anchor="bookmark35" w:tooltip="Current Document">
        <w:r w:rsidR="00A371E8">
          <w:t xml:space="preserve"> </w:t>
        </w:r>
        <w:r w:rsidRPr="009301DF">
          <w:t>Przykłady problemów z bezpieczeństwem żywności związanych z nieodpowiednią walidacją</w:t>
        </w:r>
        <w:r w:rsidR="00A371E8">
          <w:tab/>
        </w:r>
        <w:r w:rsidRPr="009301DF">
          <w:t>36</w:t>
        </w:r>
      </w:hyperlink>
    </w:p>
    <w:p w14:paraId="66F3CC93" w14:textId="346953E9" w:rsidR="00632C48" w:rsidRPr="009301DF" w:rsidRDefault="005F6F63">
      <w:pPr>
        <w:pStyle w:val="Teksttreci0"/>
        <w:framePr w:w="9509" w:h="11592" w:hRule="exact" w:wrap="none" w:vAnchor="page" w:hAnchor="page" w:x="1482" w:y="1661"/>
        <w:tabs>
          <w:tab w:val="center" w:pos="3494"/>
          <w:tab w:val="right" w:leader="dot" w:pos="9329"/>
        </w:tabs>
        <w:spacing w:after="80"/>
      </w:pPr>
      <w:hyperlink w:anchor="bookmark37" w:tooltip="Current Document">
        <w:r w:rsidRPr="009301DF">
          <w:t>Załącznik 2:</w:t>
        </w:r>
      </w:hyperlink>
      <w:hyperlink w:anchor="bookmark37" w:tooltip="Current Document">
        <w:r w:rsidR="00A371E8">
          <w:t xml:space="preserve"> </w:t>
        </w:r>
        <w:r w:rsidRPr="009301DF">
          <w:t>Przykładowy dokument decyzyjny</w:t>
        </w:r>
        <w:r w:rsidR="00A371E8">
          <w:tab/>
        </w:r>
        <w:r w:rsidRPr="009301DF">
          <w:t>39</w:t>
        </w:r>
      </w:hyperlink>
    </w:p>
    <w:p w14:paraId="2DE985C5" w14:textId="2D4B5E6D" w:rsidR="00632C48" w:rsidRPr="009301DF" w:rsidRDefault="005F6F63" w:rsidP="00A371E8">
      <w:pPr>
        <w:pStyle w:val="Teksttreci0"/>
        <w:framePr w:w="9509" w:h="11592" w:hRule="exact" w:wrap="none" w:vAnchor="page" w:hAnchor="page" w:x="1482" w:y="1661"/>
        <w:tabs>
          <w:tab w:val="left" w:leader="dot" w:pos="9072"/>
        </w:tabs>
        <w:spacing w:after="0"/>
      </w:pPr>
      <w:hyperlink w:anchor="bookmark39" w:tooltip="Current Document">
        <w:r w:rsidRPr="009301DF">
          <w:t>Załącznik 3:</w:t>
        </w:r>
      </w:hyperlink>
      <w:hyperlink w:anchor="bookmark39" w:tooltip="Current Document">
        <w:r w:rsidRPr="009301DF">
          <w:t xml:space="preserve"> Wytyczne dotyczące określania krytycznych parametrów operacyjnych na podstawie danych naukowych lub</w:t>
        </w:r>
      </w:hyperlink>
      <w:r w:rsidRPr="009301DF">
        <w:t xml:space="preserve"> </w:t>
      </w:r>
      <w:hyperlink w:anchor="bookmark39" w:tooltip="Current Document">
        <w:r w:rsidRPr="009301DF">
          <w:t>Wsparcie techniczne</w:t>
        </w:r>
        <w:r w:rsidR="00A371E8">
          <w:tab/>
        </w:r>
        <w:r w:rsidRPr="009301DF">
          <w:t>40</w:t>
        </w:r>
      </w:hyperlink>
    </w:p>
    <w:p w14:paraId="72BDABFB" w14:textId="1C6D6797" w:rsidR="00632C48" w:rsidRPr="009301DF" w:rsidRDefault="005F6F63">
      <w:pPr>
        <w:pStyle w:val="Teksttreci0"/>
        <w:framePr w:w="9509" w:h="11592" w:hRule="exact" w:wrap="none" w:vAnchor="page" w:hAnchor="page" w:x="1482" w:y="1661"/>
        <w:tabs>
          <w:tab w:val="right" w:leader="dot" w:pos="9329"/>
        </w:tabs>
        <w:spacing w:after="80"/>
      </w:pPr>
      <w:hyperlink w:anchor="bookmark41" w:tooltip="Current Document">
        <w:r w:rsidRPr="009301DF">
          <w:t>Załącznik 4:</w:t>
        </w:r>
      </w:hyperlink>
      <w:hyperlink w:anchor="bookmark41" w:tooltip="Current Document">
        <w:r w:rsidRPr="009301DF">
          <w:t xml:space="preserve"> Przykłady arkuszy do walidacji</w:t>
        </w:r>
        <w:r w:rsidR="00A371E8">
          <w:tab/>
        </w:r>
        <w:r w:rsidRPr="009301DF">
          <w:t>43</w:t>
        </w:r>
      </w:hyperlink>
    </w:p>
    <w:p w14:paraId="717BBF15" w14:textId="29854171" w:rsidR="00632C48" w:rsidRPr="009301DF" w:rsidRDefault="005F6F63">
      <w:pPr>
        <w:pStyle w:val="Teksttreci0"/>
        <w:framePr w:w="9509" w:h="11592" w:hRule="exact" w:wrap="none" w:vAnchor="page" w:hAnchor="page" w:x="1482" w:y="1661"/>
        <w:tabs>
          <w:tab w:val="right" w:leader="dot" w:pos="9329"/>
        </w:tabs>
        <w:spacing w:after="0"/>
      </w:pPr>
      <w:hyperlink w:anchor="bookmark44" w:tooltip="Current Document">
        <w:r w:rsidRPr="009301DF">
          <w:t>Załącznik 5:</w:t>
        </w:r>
      </w:hyperlink>
      <w:hyperlink w:anchor="bookmark44" w:tooltip="Current Document">
        <w:r w:rsidRPr="009301DF">
          <w:t xml:space="preserve"> Wskazówki dla zakładów, które nie posiadają już danych</w:t>
        </w:r>
      </w:hyperlink>
      <w:r w:rsidRPr="009301DF">
        <w:t xml:space="preserve"> </w:t>
      </w:r>
      <w:hyperlink w:anchor="bookmark44" w:tooltip="Current Document">
        <w:r w:rsidRPr="009301DF">
          <w:t>walidacyjnych</w:t>
        </w:r>
        <w:r w:rsidR="00A371E8">
          <w:tab/>
        </w:r>
        <w:r w:rsidRPr="009301DF">
          <w:t>64</w:t>
        </w:r>
      </w:hyperlink>
    </w:p>
    <w:p w14:paraId="335E6F0F"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48D7519D" w14:textId="2C43572F" w:rsidR="00632C48" w:rsidRPr="009301DF" w:rsidRDefault="00A371E8">
      <w:pPr>
        <w:spacing w:line="1" w:lineRule="exact"/>
      </w:pPr>
      <w:r w:rsidRPr="009301DF">
        <w:rPr>
          <w:noProof/>
        </w:rPr>
        <w:lastRenderedPageBreak/>
        <w:drawing>
          <wp:anchor distT="0" distB="0" distL="0" distR="0" simplePos="0" relativeHeight="62914691" behindDoc="1" locked="0" layoutInCell="1" allowOverlap="1" wp14:anchorId="20371A4D" wp14:editId="2D7CD5FE">
            <wp:simplePos x="0" y="0"/>
            <wp:positionH relativeFrom="page">
              <wp:posOffset>4763770</wp:posOffset>
            </wp:positionH>
            <wp:positionV relativeFrom="page">
              <wp:posOffset>5360035</wp:posOffset>
            </wp:positionV>
            <wp:extent cx="2621280" cy="2106295"/>
            <wp:effectExtent l="0" t="0" r="0" b="0"/>
            <wp:wrapNone/>
            <wp:docPr id="3"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13"/>
                    <a:stretch/>
                  </pic:blipFill>
                  <pic:spPr>
                    <a:xfrm>
                      <a:off x="0" y="0"/>
                      <a:ext cx="2621280" cy="2106295"/>
                    </a:xfrm>
                    <a:prstGeom prst="rect">
                      <a:avLst/>
                    </a:prstGeom>
                  </pic:spPr>
                </pic:pic>
              </a:graphicData>
            </a:graphic>
          </wp:anchor>
        </w:drawing>
      </w:r>
    </w:p>
    <w:p w14:paraId="0762D299" w14:textId="77777777" w:rsidR="00632C48" w:rsidRPr="009301DF" w:rsidRDefault="005F6F63" w:rsidP="00D66098">
      <w:pPr>
        <w:pStyle w:val="Nagwek10"/>
        <w:framePr w:w="9514" w:h="4193" w:hRule="exact" w:wrap="none" w:vAnchor="page" w:hAnchor="page" w:x="1482" w:y="1389"/>
        <w:spacing w:after="320"/>
      </w:pPr>
      <w:bookmarkStart w:id="3" w:name="bookmark6"/>
      <w:r w:rsidRPr="009301DF">
        <w:t>Dla kogo przeznaczone są niniejsze wytyczne?</w:t>
      </w:r>
      <w:bookmarkEnd w:id="3"/>
    </w:p>
    <w:p w14:paraId="7535F3E5" w14:textId="77777777" w:rsidR="00632C48" w:rsidRPr="009301DF" w:rsidRDefault="005F6F63" w:rsidP="00D66098">
      <w:pPr>
        <w:pStyle w:val="Teksttreci0"/>
        <w:framePr w:w="9514" w:h="4193" w:hRule="exact" w:wrap="none" w:vAnchor="page" w:hAnchor="page" w:x="1482" w:y="1389"/>
        <w:spacing w:after="0"/>
        <w:rPr>
          <w:sz w:val="23"/>
          <w:szCs w:val="23"/>
        </w:rPr>
      </w:pPr>
      <w:bookmarkStart w:id="4" w:name="bookmark8"/>
      <w:r w:rsidRPr="009301DF">
        <w:rPr>
          <w:sz w:val="23"/>
          <w:szCs w:val="23"/>
        </w:rPr>
        <w:t>Niniejsze wytyczne koncentrują się na małych i bardzo małych zakładach w ramach inicjatywy Administrowanie Małymi Przedsiębiorstwami (</w:t>
      </w:r>
      <w:r w:rsidRPr="009301DF">
        <w:rPr>
          <w:i/>
          <w:iCs/>
          <w:sz w:val="23"/>
          <w:szCs w:val="23"/>
        </w:rPr>
        <w:t>Small Business Administration</w:t>
      </w:r>
      <w:r w:rsidRPr="009301DF">
        <w:rPr>
          <w:sz w:val="23"/>
          <w:szCs w:val="23"/>
        </w:rPr>
        <w:t>) mającej na celu zapewnienie małym i bardzo małym zakładom pomocy w zakresie zgodności z ustawą o elastyczności prawnej w sektorze małych przedsiębiorstw (</w:t>
      </w:r>
      <w:r w:rsidRPr="009301DF">
        <w:rPr>
          <w:i/>
          <w:iCs/>
          <w:sz w:val="23"/>
          <w:szCs w:val="23"/>
        </w:rPr>
        <w:t>Small Business Regulatory Flexibility Act - SBRFA</w:t>
      </w:r>
      <w:r w:rsidRPr="009301DF">
        <w:rPr>
          <w:sz w:val="23"/>
          <w:szCs w:val="23"/>
        </w:rPr>
        <w:t>). Jednak wszystkie zakłady mięsne i drobiarskie podlegające regulacjom FSIS mogą stosować zalecenia zawarte w niniejszych wytycznych. Ważne jest, aby małe i bardzo małe zakłady miały dostęp do pełnego zakresu wsparcia naukowego i technicznego oraz pomocy potrzebnej do ustanowienia bezpiecznych i skutecznych systemów HACCP. Chociaż duże zakłady mogą skorzystać z wytycznych dostarczanych przez FSIS, skupienie wytycznych na potrzebach małych i bardzo małych zakładów zapewnia im informacje, które w innym przypadku mogłyby być dla nich niedostępne.</w:t>
      </w:r>
      <w:bookmarkEnd w:id="4"/>
    </w:p>
    <w:p w14:paraId="31DAA0DD" w14:textId="77777777" w:rsidR="00632C48" w:rsidRPr="009301DF" w:rsidRDefault="005F6F63" w:rsidP="00D66098">
      <w:pPr>
        <w:pStyle w:val="Nagwek10"/>
        <w:framePr w:w="9496" w:h="4246" w:hRule="exact" w:wrap="none" w:vAnchor="page" w:hAnchor="page" w:x="1482" w:y="5296"/>
        <w:spacing w:after="120"/>
      </w:pPr>
      <w:r w:rsidRPr="009301DF">
        <w:t>Dlaczego FSIS opracowała niniejsze wytyczne?</w:t>
      </w:r>
    </w:p>
    <w:p w14:paraId="174C8E5B" w14:textId="77777777" w:rsidR="004365BD" w:rsidRPr="009301DF" w:rsidRDefault="005F6F63" w:rsidP="00D66098">
      <w:pPr>
        <w:pStyle w:val="Teksttreci0"/>
        <w:framePr w:w="9496" w:h="4246" w:hRule="exact" w:wrap="none" w:vAnchor="page" w:hAnchor="page" w:x="1482" w:y="5296"/>
        <w:spacing w:after="0"/>
        <w:rPr>
          <w:sz w:val="23"/>
          <w:szCs w:val="23"/>
        </w:rPr>
      </w:pPr>
      <w:r w:rsidRPr="009301DF">
        <w:rPr>
          <w:sz w:val="23"/>
          <w:szCs w:val="23"/>
        </w:rPr>
        <w:t>FSIS ustaliła na podstawie swoich działań weryfikacyjnych dotyczących Systemu Analizy Zagrożeń i Krytycznych Punktów Kontroli (</w:t>
      </w:r>
      <w:r w:rsidRPr="009301DF">
        <w:rPr>
          <w:i/>
          <w:iCs/>
          <w:sz w:val="23"/>
          <w:szCs w:val="23"/>
        </w:rPr>
        <w:t>Hazard Analysis and Critical Control Points - HACCP</w:t>
      </w:r>
      <w:r w:rsidRPr="009301DF">
        <w:rPr>
          <w:sz w:val="23"/>
          <w:szCs w:val="23"/>
        </w:rPr>
        <w:t xml:space="preserve">), że wiele zakładów nie dokonało właściwej walidacji swoich systemów. W szczególności zakłady nie przeprowadziły odpowiednich działań w </w:t>
      </w:r>
      <w:r w:rsidRPr="009301DF">
        <w:rPr>
          <w:b/>
          <w:sz w:val="23"/>
          <w:szCs w:val="23"/>
        </w:rPr>
        <w:t>okresie wstępnej walidacji</w:t>
      </w:r>
      <w:r w:rsidRPr="009301DF">
        <w:rPr>
          <w:sz w:val="23"/>
          <w:szCs w:val="23"/>
        </w:rPr>
        <w:t xml:space="preserve">, aby przełożyć wszystkie wymagane krytyczne parametry operacyjne pochodzące ze wsparcia naukowego lub technicznego na swoje procesy i zebrać dane walidacyjne w zakładzie wykazujące, że plan HACCP działa zgodnie z jego przeznaczeniem. Ponadto działania Agencji w zakresie egzekwowania przepisów zidentyfikowały przypadki, w których nieodpowiednia walidacja doprowadziła do produkcji zanieczyszczonego wyrobu, a w niektórych przypadkach nawet do chorób. </w:t>
      </w:r>
    </w:p>
    <w:p w14:paraId="366882D2" w14:textId="5EC76D14" w:rsidR="00632C48" w:rsidRPr="009301DF" w:rsidRDefault="005F6F63" w:rsidP="00D66098">
      <w:pPr>
        <w:pStyle w:val="Teksttreci0"/>
        <w:framePr w:w="9496" w:h="4246" w:hRule="exact" w:wrap="none" w:vAnchor="page" w:hAnchor="page" w:x="1482" w:y="5296"/>
        <w:spacing w:after="0"/>
        <w:ind w:right="2689"/>
      </w:pPr>
      <w:r w:rsidRPr="009301DF">
        <w:rPr>
          <w:sz w:val="23"/>
          <w:szCs w:val="23"/>
        </w:rPr>
        <w:t>Konkretne przykłady sytuacji, w których nieodpowiednia walidacja doprowadziła do produkcji zanieczyszczonego wyrobu, a w niektórych przypadkach nawet do chorób,</w:t>
      </w:r>
      <w:r w:rsidRPr="009301DF">
        <w:t xml:space="preserve"> przedstawiono w</w:t>
      </w:r>
      <w:hyperlink w:anchor="bookmark35" w:tooltip="Current Document">
        <w:r w:rsidRPr="009301DF">
          <w:t xml:space="preserve"> </w:t>
        </w:r>
        <w:r w:rsidRPr="009301DF">
          <w:rPr>
            <w:color w:val="0000FF"/>
            <w:u w:val="single"/>
          </w:rPr>
          <w:t>Załączniku 1.</w:t>
        </w:r>
      </w:hyperlink>
    </w:p>
    <w:p w14:paraId="626F847C" w14:textId="75171F60" w:rsidR="00632C48" w:rsidRPr="009301DF" w:rsidRDefault="005F6F63" w:rsidP="00A371E8">
      <w:pPr>
        <w:pStyle w:val="Teksttreci0"/>
        <w:framePr w:w="3511" w:h="2296" w:hRule="exact" w:wrap="none" w:vAnchor="page" w:hAnchor="page" w:x="8086" w:y="9181"/>
        <w:spacing w:after="0"/>
        <w:rPr>
          <w:sz w:val="22"/>
          <w:szCs w:val="22"/>
        </w:rPr>
      </w:pPr>
      <w:r w:rsidRPr="009301DF">
        <w:rPr>
          <w:sz w:val="22"/>
          <w:szCs w:val="22"/>
        </w:rPr>
        <w:t>Działania Agencji w zakresie egzekwowania przepisów zidentyfikowały przypadki, w których nieodpowiednia walidacja doprowadziła do produkcji zanieczyszczonego wyrobu, a w niektórych przypadkach nawet do chorób.</w:t>
      </w:r>
    </w:p>
    <w:p w14:paraId="3B6EBEF0" w14:textId="5F76C4A0" w:rsidR="00632C48" w:rsidRPr="009301DF" w:rsidRDefault="005F6F63" w:rsidP="00A371E8">
      <w:pPr>
        <w:pStyle w:val="Teksttreci0"/>
        <w:framePr w:w="9302" w:h="5536" w:hRule="exact" w:wrap="none" w:vAnchor="page" w:hAnchor="page" w:x="1487" w:y="9576"/>
        <w:spacing w:after="0"/>
        <w:ind w:right="2926"/>
        <w:rPr>
          <w:sz w:val="23"/>
          <w:szCs w:val="23"/>
        </w:rPr>
      </w:pPr>
      <w:r w:rsidRPr="009301DF">
        <w:rPr>
          <w:sz w:val="23"/>
          <w:szCs w:val="23"/>
        </w:rPr>
        <w:t xml:space="preserve">W oparciu o wyniki analiz danych FSIS oraz dochodzeń w sprawie ognisk chorób podsumowanych w </w:t>
      </w:r>
      <w:hyperlink w:anchor="bookmark35" w:tooltip="Current Document">
        <w:r w:rsidRPr="009301DF">
          <w:rPr>
            <w:sz w:val="23"/>
            <w:szCs w:val="23"/>
          </w:rPr>
          <w:t xml:space="preserve"> </w:t>
        </w:r>
        <w:r w:rsidRPr="009301DF">
          <w:rPr>
            <w:color w:val="0000FF"/>
            <w:sz w:val="23"/>
            <w:szCs w:val="23"/>
            <w:u w:val="single"/>
          </w:rPr>
          <w:t>Załączniku 1</w:t>
        </w:r>
        <w:r w:rsidRPr="009301DF">
          <w:rPr>
            <w:sz w:val="23"/>
            <w:szCs w:val="23"/>
          </w:rPr>
          <w:t>,</w:t>
        </w:r>
      </w:hyperlink>
      <w:r w:rsidRPr="009301DF">
        <w:rPr>
          <w:sz w:val="23"/>
          <w:szCs w:val="23"/>
        </w:rPr>
        <w:t xml:space="preserve"> FSIS zaleca, aby zakłady korzystały z niniejszych wytycznych w celu zagwarantowania, że ich systemy HACCP są odpowiednio walidowane. Podczas gdy większość zakładów posiada naukowe lub techniczne wsparcie dla ocen dokonanych podczas projektowania swoich systemów HACCP, co jest pierwszym elementem wstępnej walidacji, wiele z nich nie zebrało niezbędnych danych walidacyjnych w zakładzie wykazujących, że system HACCP działa zgodnie z jego przeznaczeniem. FSIS stwierdziła również, że zakłady nie posiadają:</w:t>
      </w:r>
    </w:p>
    <w:p w14:paraId="229FCBA4" w14:textId="77777777" w:rsidR="00632C48" w:rsidRPr="009301DF" w:rsidRDefault="005F6F63" w:rsidP="00D66098">
      <w:pPr>
        <w:pStyle w:val="Teksttreci0"/>
        <w:framePr w:w="9302" w:h="5536" w:hRule="exact" w:wrap="none" w:vAnchor="page" w:hAnchor="page" w:x="1487" w:y="9576"/>
        <w:spacing w:after="0"/>
        <w:ind w:firstLine="780"/>
        <w:rPr>
          <w:sz w:val="23"/>
          <w:szCs w:val="23"/>
        </w:rPr>
      </w:pPr>
      <w:r w:rsidRPr="009301DF">
        <w:rPr>
          <w:b/>
          <w:sz w:val="23"/>
          <w:szCs w:val="23"/>
        </w:rPr>
        <w:t>W zakresie kwestii związanych z projektowaniem systemu HACCP</w:t>
      </w:r>
    </w:p>
    <w:p w14:paraId="67540CDF" w14:textId="111D4D4D" w:rsidR="00632C48" w:rsidRPr="009301DF" w:rsidRDefault="005F6F63" w:rsidP="00D66098">
      <w:pPr>
        <w:pStyle w:val="Teksttreci0"/>
        <w:framePr w:w="9302" w:h="5536" w:hRule="exact" w:wrap="none" w:vAnchor="page" w:hAnchor="page" w:x="1487" w:y="9576"/>
        <w:numPr>
          <w:ilvl w:val="0"/>
          <w:numId w:val="2"/>
        </w:numPr>
        <w:spacing w:after="0"/>
        <w:rPr>
          <w:sz w:val="23"/>
          <w:szCs w:val="23"/>
        </w:rPr>
      </w:pPr>
      <w:r w:rsidRPr="009301DF">
        <w:rPr>
          <w:sz w:val="23"/>
          <w:szCs w:val="23"/>
        </w:rPr>
        <w:t>Zidentyfikowanego wsparcia naukowego, które właściwie odnosi się do bieżących procesów w zakładzie; lub</w:t>
      </w:r>
    </w:p>
    <w:p w14:paraId="1E7EACFE" w14:textId="2C2B3374" w:rsidR="00632C48" w:rsidRPr="009301DF" w:rsidRDefault="005F6F63" w:rsidP="00D66098">
      <w:pPr>
        <w:pStyle w:val="Teksttreci0"/>
        <w:framePr w:w="9302" w:h="5536" w:hRule="exact" w:wrap="none" w:vAnchor="page" w:hAnchor="page" w:x="1487" w:y="9576"/>
        <w:numPr>
          <w:ilvl w:val="0"/>
          <w:numId w:val="2"/>
        </w:numPr>
        <w:spacing w:after="0"/>
        <w:rPr>
          <w:sz w:val="23"/>
          <w:szCs w:val="23"/>
        </w:rPr>
      </w:pPr>
      <w:r w:rsidRPr="009301DF">
        <w:rPr>
          <w:sz w:val="23"/>
          <w:szCs w:val="23"/>
        </w:rPr>
        <w:t>Zidentyfikowanych krytycznych parametrów operacyjnych dla wsparcia naukowego niezbędnych do tego, aby interwencja działała zgodnie z przeznaczeniem.</w:t>
      </w:r>
    </w:p>
    <w:p w14:paraId="7CBF47EA" w14:textId="480CC08A"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5136CC53" w14:textId="77777777" w:rsidR="00632C48" w:rsidRPr="009301DF" w:rsidRDefault="00632C48">
      <w:pPr>
        <w:spacing w:line="1" w:lineRule="exact"/>
      </w:pPr>
    </w:p>
    <w:p w14:paraId="3E4970C8" w14:textId="77777777" w:rsidR="00632C48" w:rsidRPr="009301DF" w:rsidRDefault="005F6F63">
      <w:pPr>
        <w:pStyle w:val="Teksttreci0"/>
        <w:framePr w:w="9864" w:h="1493" w:hRule="exact" w:wrap="none" w:vAnchor="page" w:hAnchor="page" w:x="1482" w:y="1661"/>
        <w:spacing w:after="0"/>
        <w:ind w:firstLine="800"/>
        <w:jc w:val="both"/>
      </w:pPr>
      <w:r w:rsidRPr="009301DF">
        <w:rPr>
          <w:b/>
        </w:rPr>
        <w:t>W zakresie problemów związanych z wdrożeniem systemu HACCP</w:t>
      </w:r>
    </w:p>
    <w:p w14:paraId="22788053" w14:textId="686B17E7" w:rsidR="00632C48" w:rsidRPr="009301DF" w:rsidRDefault="005F6F63" w:rsidP="004365BD">
      <w:pPr>
        <w:pStyle w:val="Teksttreci0"/>
        <w:framePr w:w="9864" w:h="1493" w:hRule="exact" w:wrap="none" w:vAnchor="page" w:hAnchor="page" w:x="1482" w:y="1661"/>
        <w:numPr>
          <w:ilvl w:val="0"/>
          <w:numId w:val="2"/>
        </w:numPr>
        <w:spacing w:after="0"/>
      </w:pPr>
      <w:r w:rsidRPr="009301DF">
        <w:t>Przełożenia krytycznych parametrów operacyjnych na swoje systemy HACCP; lub</w:t>
      </w:r>
    </w:p>
    <w:p w14:paraId="03DFB790" w14:textId="6F80DA8C" w:rsidR="00632C48" w:rsidRPr="009301DF" w:rsidRDefault="005F6F63" w:rsidP="004365BD">
      <w:pPr>
        <w:pStyle w:val="Teksttreci0"/>
        <w:framePr w:w="9864" w:h="1493" w:hRule="exact" w:wrap="none" w:vAnchor="page" w:hAnchor="page" w:x="1482" w:y="1661"/>
        <w:numPr>
          <w:ilvl w:val="0"/>
          <w:numId w:val="2"/>
        </w:numPr>
        <w:spacing w:after="0"/>
      </w:pPr>
      <w:r w:rsidRPr="009301DF">
        <w:t>Dowodów, że przeprowadzili walidację swoich systemów HACCP w rzeczywistych warunkach panujących w zakładzie.</w:t>
      </w:r>
    </w:p>
    <w:p w14:paraId="3891C6C3" w14:textId="34E7927A" w:rsidR="00632C48" w:rsidRPr="009301DF" w:rsidRDefault="005F6F63" w:rsidP="00D66098">
      <w:pPr>
        <w:pStyle w:val="Teksttreci0"/>
        <w:framePr w:w="9864" w:h="4074" w:hRule="exact" w:wrap="none" w:vAnchor="page" w:hAnchor="page" w:x="1482" w:y="2776"/>
        <w:spacing w:after="0"/>
        <w:ind w:right="4475"/>
        <w:rPr>
          <w:sz w:val="23"/>
          <w:szCs w:val="23"/>
        </w:rPr>
      </w:pPr>
      <w:bookmarkStart w:id="5" w:name="bookmark10"/>
      <w:r w:rsidRPr="009301DF">
        <w:rPr>
          <w:sz w:val="23"/>
          <w:szCs w:val="23"/>
        </w:rPr>
        <w:t>Dzięki zagwarantowaniu, że system HACCP został prawidłowo zaprojektowany i wdrożony, zakład może zmniejszyć prawdopodobieństwo zanieczyszczenia produktu oraz wystąpienia chorób w przyszłości. Wstępna walidacja każdego systemu HACCP musi obejmować wsparcie naukowe lub techniczne związane z procesem zakładu wspierającym projektowanie systemu HACCP wraz z pewnymi praktycznymi danymi walidacyjnymi w zakładzie, odzwierciedlającymi rzeczywiste wczesne doświadczenie zakładu w zakresie wdrażania systemu HACCP. Walidacja musi wykazać nie tylko, że system HACCP jest teoretycznie uzasadniony (projekt), ale także, że zakład może go wdrożyć i sprawić, by działał (wykonanie).</w:t>
      </w:r>
      <w:bookmarkEnd w:id="5"/>
    </w:p>
    <w:p w14:paraId="4B82EA33" w14:textId="77777777" w:rsidR="00632C48" w:rsidRPr="009301DF" w:rsidRDefault="00632C48">
      <w:pPr>
        <w:pStyle w:val="Teksttreci0"/>
        <w:framePr w:w="9864" w:h="8030" w:hRule="exact" w:wrap="none" w:vAnchor="page" w:hAnchor="page" w:x="1482" w:y="6399"/>
        <w:spacing w:after="200"/>
        <w:rPr>
          <w:sz w:val="23"/>
          <w:szCs w:val="23"/>
        </w:rPr>
      </w:pPr>
    </w:p>
    <w:p w14:paraId="785F8BAD" w14:textId="77777777" w:rsidR="00632C48" w:rsidRPr="009301DF" w:rsidRDefault="005F6F63">
      <w:pPr>
        <w:pStyle w:val="Nagwek10"/>
        <w:framePr w:w="9864" w:h="8030" w:hRule="exact" w:wrap="none" w:vAnchor="page" w:hAnchor="page" w:x="1482" w:y="6399"/>
      </w:pPr>
      <w:r w:rsidRPr="009301DF">
        <w:t>Jakich pojęć i umiejętności nauczą się małe i bardzo małe zakłady dzięki niniejszym wytycznym?</w:t>
      </w:r>
    </w:p>
    <w:p w14:paraId="047E744C" w14:textId="77777777" w:rsidR="00632C48" w:rsidRPr="009301DF" w:rsidRDefault="005F6F63">
      <w:pPr>
        <w:pStyle w:val="Teksttreci0"/>
        <w:framePr w:w="9864" w:h="8030" w:hRule="exact" w:wrap="none" w:vAnchor="page" w:hAnchor="page" w:x="1482" w:y="6399"/>
        <w:spacing w:after="260"/>
        <w:rPr>
          <w:sz w:val="23"/>
          <w:szCs w:val="23"/>
        </w:rPr>
      </w:pPr>
      <w:r w:rsidRPr="009301DF">
        <w:rPr>
          <w:sz w:val="23"/>
          <w:szCs w:val="23"/>
        </w:rPr>
        <w:t>Małe i bardzo małe zakłady korzystające z niniejszych wytycznych dowiedzą się m.in:</w:t>
      </w:r>
    </w:p>
    <w:p w14:paraId="0240323F" w14:textId="06B28B62" w:rsidR="00632C48" w:rsidRPr="009301DF" w:rsidRDefault="005F6F63" w:rsidP="004365BD">
      <w:pPr>
        <w:pStyle w:val="Teksttreci0"/>
        <w:framePr w:w="9864" w:h="8030" w:hRule="exact" w:wrap="none" w:vAnchor="page" w:hAnchor="page" w:x="1482" w:y="6399"/>
        <w:numPr>
          <w:ilvl w:val="0"/>
          <w:numId w:val="2"/>
        </w:numPr>
        <w:spacing w:after="0" w:line="262" w:lineRule="auto"/>
        <w:rPr>
          <w:sz w:val="23"/>
          <w:szCs w:val="23"/>
        </w:rPr>
      </w:pPr>
      <w:r w:rsidRPr="009301DF">
        <w:rPr>
          <w:sz w:val="23"/>
          <w:szCs w:val="23"/>
        </w:rPr>
        <w:t>Czym różni się wstępna walidacja od bieżącej weryfikacji;</w:t>
      </w:r>
    </w:p>
    <w:p w14:paraId="73D45BEC" w14:textId="0A99EFDE" w:rsidR="00632C48" w:rsidRPr="009301DF" w:rsidRDefault="005F6F63" w:rsidP="004365BD">
      <w:pPr>
        <w:pStyle w:val="Teksttreci0"/>
        <w:framePr w:w="9864" w:h="8030" w:hRule="exact" w:wrap="none" w:vAnchor="page" w:hAnchor="page" w:x="1482" w:y="6399"/>
        <w:numPr>
          <w:ilvl w:val="0"/>
          <w:numId w:val="2"/>
        </w:numPr>
        <w:spacing w:after="0" w:line="262" w:lineRule="auto"/>
        <w:rPr>
          <w:sz w:val="23"/>
          <w:szCs w:val="23"/>
        </w:rPr>
      </w:pPr>
      <w:r w:rsidRPr="009301DF">
        <w:rPr>
          <w:sz w:val="23"/>
          <w:szCs w:val="23"/>
        </w:rPr>
        <w:t>Jak zidentyfikować wsparcie naukowe lub techniczne istotne dla ich procesów;</w:t>
      </w:r>
    </w:p>
    <w:p w14:paraId="34D7600D" w14:textId="4E93D324" w:rsidR="00632C48" w:rsidRPr="009301DF" w:rsidRDefault="005F6F63" w:rsidP="004365BD">
      <w:pPr>
        <w:pStyle w:val="Teksttreci0"/>
        <w:framePr w:w="9864" w:h="8030" w:hRule="exact" w:wrap="none" w:vAnchor="page" w:hAnchor="page" w:x="1482" w:y="6399"/>
        <w:numPr>
          <w:ilvl w:val="0"/>
          <w:numId w:val="2"/>
        </w:numPr>
        <w:spacing w:after="0"/>
        <w:rPr>
          <w:sz w:val="23"/>
          <w:szCs w:val="23"/>
        </w:rPr>
      </w:pPr>
      <w:r w:rsidRPr="009301DF">
        <w:rPr>
          <w:sz w:val="23"/>
          <w:szCs w:val="23"/>
        </w:rPr>
        <w:t>Co to są krytyczne parametry operacyjne i jak je zidentyfikować we wsparciu naukowym i technicznym; oraz</w:t>
      </w:r>
    </w:p>
    <w:p w14:paraId="458CB21B" w14:textId="1817EE76" w:rsidR="00632C48" w:rsidRPr="009301DF" w:rsidRDefault="005F6F63" w:rsidP="004365BD">
      <w:pPr>
        <w:pStyle w:val="Teksttreci0"/>
        <w:framePr w:w="9864" w:h="8030" w:hRule="exact" w:wrap="none" w:vAnchor="page" w:hAnchor="page" w:x="1482" w:y="6399"/>
        <w:numPr>
          <w:ilvl w:val="0"/>
          <w:numId w:val="2"/>
        </w:numPr>
        <w:spacing w:after="260"/>
        <w:rPr>
          <w:sz w:val="23"/>
          <w:szCs w:val="23"/>
        </w:rPr>
      </w:pPr>
      <w:r w:rsidRPr="009301DF">
        <w:rPr>
          <w:sz w:val="23"/>
          <w:szCs w:val="23"/>
        </w:rPr>
        <w:t>Jak wykazać, że krytyczne parametry operacyjne zostały podczas wstępnej walidacji osiągnięte (tj. poprzez dane walidacyjne w zakładzie).</w:t>
      </w:r>
    </w:p>
    <w:p w14:paraId="4199986A" w14:textId="77777777" w:rsidR="00632C48" w:rsidRPr="009301DF" w:rsidRDefault="005F6F63">
      <w:pPr>
        <w:pStyle w:val="Teksttreci0"/>
        <w:framePr w:w="9864" w:h="8030" w:hRule="exact" w:wrap="none" w:vAnchor="page" w:hAnchor="page" w:x="1482" w:y="6399"/>
        <w:spacing w:after="200"/>
        <w:rPr>
          <w:sz w:val="23"/>
          <w:szCs w:val="23"/>
        </w:rPr>
      </w:pPr>
      <w:bookmarkStart w:id="6" w:name="bookmark12"/>
      <w:r w:rsidRPr="009301DF">
        <w:rPr>
          <w:sz w:val="23"/>
          <w:szCs w:val="23"/>
        </w:rPr>
        <w:t>Zakłady, które zrozumiały te tematy, powinny dysponować narzędziami niezbędnymi do pomyślnej walidacji swoich systemów HACCP.</w:t>
      </w:r>
      <w:bookmarkEnd w:id="6"/>
    </w:p>
    <w:p w14:paraId="3C78F5D9" w14:textId="77777777" w:rsidR="00632C48" w:rsidRPr="009301DF" w:rsidRDefault="005F6F63">
      <w:pPr>
        <w:pStyle w:val="Nagwek10"/>
        <w:framePr w:w="9864" w:h="8030" w:hRule="exact" w:wrap="none" w:vAnchor="page" w:hAnchor="page" w:x="1482" w:y="6399"/>
      </w:pPr>
      <w:r w:rsidRPr="009301DF">
        <w:t>Jaka jest historia walidacji w kontekście przepisów HACCP?</w:t>
      </w:r>
    </w:p>
    <w:p w14:paraId="077C496C" w14:textId="77777777" w:rsidR="00632C48" w:rsidRPr="009301DF" w:rsidRDefault="005F6F63">
      <w:pPr>
        <w:pStyle w:val="Teksttreci0"/>
        <w:framePr w:w="9864" w:h="8030" w:hRule="exact" w:wrap="none" w:vAnchor="page" w:hAnchor="page" w:x="1482" w:y="6399"/>
        <w:spacing w:after="0"/>
        <w:rPr>
          <w:sz w:val="23"/>
          <w:szCs w:val="23"/>
        </w:rPr>
      </w:pPr>
      <w:r w:rsidRPr="009301DF">
        <w:rPr>
          <w:sz w:val="23"/>
          <w:szCs w:val="23"/>
        </w:rPr>
        <w:t>W dniu 25 lipca 1996 r. FSIS opublikowała ostateczną zasadę dotyczącą Redukcji Patogenów (</w:t>
      </w:r>
      <w:r w:rsidRPr="009301DF">
        <w:rPr>
          <w:i/>
          <w:iCs/>
          <w:sz w:val="23"/>
          <w:szCs w:val="23"/>
        </w:rPr>
        <w:t>Pathogen Reduction - PR</w:t>
      </w:r>
      <w:r w:rsidRPr="009301DF">
        <w:rPr>
          <w:sz w:val="23"/>
          <w:szCs w:val="23"/>
        </w:rPr>
        <w:t xml:space="preserve">); Systemów Analizy Zagrożeń i Krytycznych Punków Kontroli (HACCP) </w:t>
      </w:r>
      <w:hyperlink r:id="rId14" w:history="1">
        <w:r w:rsidRPr="009301DF">
          <w:rPr>
            <w:sz w:val="23"/>
            <w:szCs w:val="23"/>
          </w:rPr>
          <w:t xml:space="preserve"> </w:t>
        </w:r>
        <w:r w:rsidRPr="009301DF">
          <w:rPr>
            <w:color w:val="0000FF"/>
            <w:sz w:val="23"/>
            <w:szCs w:val="23"/>
            <w:u w:val="single"/>
          </w:rPr>
          <w:t>(61 FR 38806)</w:t>
        </w:r>
        <w:r w:rsidRPr="009301DF">
          <w:rPr>
            <w:sz w:val="23"/>
            <w:szCs w:val="23"/>
          </w:rPr>
          <w:t>.</w:t>
        </w:r>
      </w:hyperlink>
      <w:r w:rsidRPr="009301DF">
        <w:rPr>
          <w:sz w:val="23"/>
          <w:szCs w:val="23"/>
        </w:rPr>
        <w:t xml:space="preserve"> Zasada </w:t>
      </w:r>
      <w:r w:rsidRPr="009301DF">
        <w:rPr>
          <w:i/>
          <w:iCs/>
          <w:sz w:val="23"/>
          <w:szCs w:val="23"/>
        </w:rPr>
        <w:t>PR/HACCP</w:t>
      </w:r>
      <w:r w:rsidRPr="009301DF">
        <w:rPr>
          <w:sz w:val="23"/>
          <w:szCs w:val="23"/>
        </w:rPr>
        <w:t xml:space="preserve"> wymaga, aby zakłady mięsne i drobiarskie podlegające inspekcji federalnej wzięły na siebie odpowiedzialność za, między innymi, zmniejszenie zanieczyszczenia produktów mięsnych i drobiowych bakteriami chorobotwórczymi (patogennymi) poprzez wdrożenie systemu, znanego jako HACCP, oraz kontroli zapobiegawczych mających na celu poprawę bezpieczeństwa ich produktów.</w:t>
      </w:r>
    </w:p>
    <w:p w14:paraId="46196191" w14:textId="77777777" w:rsidR="00632C48" w:rsidRPr="009301DF" w:rsidRDefault="005F6F63" w:rsidP="00D66098">
      <w:pPr>
        <w:pStyle w:val="Teksttreci0"/>
        <w:framePr w:w="4114" w:h="1762" w:hRule="exact" w:wrap="none" w:vAnchor="page" w:hAnchor="page" w:x="7449" w:y="4088"/>
        <w:spacing w:after="0"/>
      </w:pPr>
      <w:r w:rsidRPr="009301DF">
        <w:t>Zakład musi posiadać skuteczny system HACCP, aby spełniać wymogi regulacyjne oraz zapobiegać zanieczyszczaniu produktów.</w:t>
      </w:r>
    </w:p>
    <w:p w14:paraId="56C0CD65"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2" behindDoc="1" locked="0" layoutInCell="1" allowOverlap="1" wp14:anchorId="6EBCBA6D" wp14:editId="5948D105">
            <wp:simplePos x="0" y="0"/>
            <wp:positionH relativeFrom="page">
              <wp:posOffset>4424045</wp:posOffset>
            </wp:positionH>
            <wp:positionV relativeFrom="page">
              <wp:posOffset>2081530</wp:posOffset>
            </wp:positionV>
            <wp:extent cx="3048000" cy="2048510"/>
            <wp:effectExtent l="0" t="0" r="0" b="0"/>
            <wp:wrapNone/>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15"/>
                    <a:stretch/>
                  </pic:blipFill>
                  <pic:spPr>
                    <a:xfrm>
                      <a:off x="0" y="0"/>
                      <a:ext cx="3048000" cy="2048510"/>
                    </a:xfrm>
                    <a:prstGeom prst="rect">
                      <a:avLst/>
                    </a:prstGeom>
                  </pic:spPr>
                </pic:pic>
              </a:graphicData>
            </a:graphic>
          </wp:anchor>
        </w:drawing>
      </w:r>
    </w:p>
    <w:p w14:paraId="3D946DBD" w14:textId="77777777" w:rsidR="00632C48" w:rsidRPr="009301DF" w:rsidRDefault="00632C48">
      <w:pPr>
        <w:spacing w:line="1" w:lineRule="exact"/>
      </w:pPr>
    </w:p>
    <w:p w14:paraId="0242C188" w14:textId="2383C335" w:rsidR="00632C48" w:rsidRPr="009301DF" w:rsidRDefault="005F6F63" w:rsidP="00D66098">
      <w:pPr>
        <w:pStyle w:val="Teksttreci0"/>
        <w:framePr w:w="9864" w:h="6609" w:hRule="exact" w:wrap="none" w:vAnchor="page" w:hAnchor="page" w:x="1482" w:y="796"/>
        <w:ind w:right="4475"/>
      </w:pPr>
      <w:r w:rsidRPr="009301DF">
        <w:t xml:space="preserve"> Zakład musi posiadać skuteczny system HACCP, aby spełniać wymogi regulacyjne oraz zapobiegać zanieczyszczaniu produktów.</w:t>
      </w:r>
    </w:p>
    <w:p w14:paraId="56073806" w14:textId="4C4F1019" w:rsidR="00632C48" w:rsidRPr="009301DF" w:rsidRDefault="005F6F63" w:rsidP="00D66098">
      <w:pPr>
        <w:pStyle w:val="Teksttreci0"/>
        <w:framePr w:w="9864" w:h="6609" w:hRule="exact" w:wrap="none" w:vAnchor="page" w:hAnchor="page" w:x="1482" w:y="796"/>
        <w:ind w:right="4475"/>
      </w:pPr>
      <w:r w:rsidRPr="009301DF">
        <w:t xml:space="preserve">Wymagania HACCP, które muszą spełniać zakłady, są określone w 9 CFR część 417. Wymagania te opierają się na siedmiu </w:t>
      </w:r>
      <w:hyperlink r:id="rId16" w:history="1">
        <w:r w:rsidRPr="009301DF">
          <w:rPr>
            <w:color w:val="0000FF"/>
            <w:u w:val="single"/>
          </w:rPr>
          <w:t>zasadach</w:t>
        </w:r>
      </w:hyperlink>
      <w:r w:rsidRPr="009301DF">
        <w:rPr>
          <w:color w:val="0000FF"/>
          <w:u w:val="single"/>
        </w:rPr>
        <w:t xml:space="preserve"> </w:t>
      </w:r>
      <w:hyperlink r:id="rId17" w:history="1">
        <w:r w:rsidRPr="009301DF">
          <w:rPr>
            <w:color w:val="0000FF"/>
            <w:u w:val="single"/>
          </w:rPr>
          <w:t>HACCP</w:t>
        </w:r>
        <w:r w:rsidRPr="009301DF">
          <w:rPr>
            <w:color w:val="0000FF"/>
          </w:rPr>
          <w:t xml:space="preserve"> </w:t>
        </w:r>
      </w:hyperlink>
      <w:r w:rsidRPr="009301DF">
        <w:t xml:space="preserve"> zalecanych przez Amerykański Krajowy Komitet Doradczy ds. Kryteriów Mikrobiologicznych dla Żywności (National Advisory Committee on Microbiological Criteria for Food - NACMCF) w 1992 roku. Jedną z zasad określonych przez NACMCF była „Weryfikacja” opisująca, że systemy HACCP powinny być systematycznie weryfikowane. W wyjaśnieniu NACMCF dotyczącym zasady weryfikacji, które FSIS stosuje, zakład jest odpowiedzialny za następujące trzy procesy objęte zasadą weryfikacji:</w:t>
      </w:r>
    </w:p>
    <w:p w14:paraId="6DFD322B" w14:textId="77777777" w:rsidR="00632C48" w:rsidRPr="009301DF" w:rsidRDefault="005F6F63" w:rsidP="00D66098">
      <w:pPr>
        <w:pStyle w:val="Teksttreci0"/>
        <w:framePr w:w="9864" w:h="6609" w:hRule="exact" w:wrap="none" w:vAnchor="page" w:hAnchor="page" w:x="1482" w:y="796"/>
        <w:spacing w:after="0" w:line="262" w:lineRule="auto"/>
        <w:ind w:left="1160"/>
      </w:pPr>
      <w:r w:rsidRPr="009301DF">
        <w:rPr>
          <w:sz w:val="22"/>
        </w:rPr>
        <w:t xml:space="preserve">• </w:t>
      </w:r>
      <w:r w:rsidRPr="009301DF">
        <w:t>Walidacja,</w:t>
      </w:r>
    </w:p>
    <w:p w14:paraId="257A935C" w14:textId="77777777" w:rsidR="00632C48" w:rsidRPr="009301DF" w:rsidRDefault="005F6F63" w:rsidP="00D66098">
      <w:pPr>
        <w:pStyle w:val="Teksttreci0"/>
        <w:framePr w:w="9864" w:h="6609" w:hRule="exact" w:wrap="none" w:vAnchor="page" w:hAnchor="page" w:x="1482" w:y="796"/>
        <w:spacing w:after="0" w:line="262" w:lineRule="auto"/>
        <w:ind w:left="1160"/>
      </w:pPr>
      <w:r w:rsidRPr="009301DF">
        <w:rPr>
          <w:sz w:val="22"/>
        </w:rPr>
        <w:t xml:space="preserve">• </w:t>
      </w:r>
      <w:r w:rsidRPr="009301DF">
        <w:t>Weryfikacja, oraz</w:t>
      </w:r>
    </w:p>
    <w:p w14:paraId="6A73EE16" w14:textId="77777777" w:rsidR="00632C48" w:rsidRPr="009301DF" w:rsidRDefault="005F6F63" w:rsidP="00D66098">
      <w:pPr>
        <w:pStyle w:val="Teksttreci0"/>
        <w:framePr w:w="9864" w:h="6609" w:hRule="exact" w:wrap="none" w:vAnchor="page" w:hAnchor="page" w:x="1482" w:y="796"/>
        <w:spacing w:after="0" w:line="262" w:lineRule="auto"/>
        <w:ind w:left="1160"/>
      </w:pPr>
      <w:r w:rsidRPr="009301DF">
        <w:rPr>
          <w:sz w:val="22"/>
        </w:rPr>
        <w:t xml:space="preserve">• </w:t>
      </w:r>
      <w:r w:rsidRPr="009301DF">
        <w:t>Ponowna ocena.</w:t>
      </w:r>
    </w:p>
    <w:p w14:paraId="7C81AEA3" w14:textId="1D88CFFB" w:rsidR="00632C48" w:rsidRPr="009301DF" w:rsidRDefault="005F6F63" w:rsidP="00D66098">
      <w:pPr>
        <w:pStyle w:val="Teksttreci0"/>
        <w:framePr w:w="9864" w:h="6879" w:hRule="exact" w:wrap="none" w:vAnchor="page" w:hAnchor="page" w:x="1482" w:y="7351"/>
        <w:ind w:right="3483"/>
      </w:pPr>
      <w:r w:rsidRPr="009301DF">
        <w:rPr>
          <w:b/>
        </w:rPr>
        <w:t xml:space="preserve">UWAGA: </w:t>
      </w:r>
      <w:r w:rsidRPr="009301DF">
        <w:t>Niniejsze wytyczne odnoszą się wyłącznie do elementu wstępnej walidacji zasady weryfikacji HACCP.</w:t>
      </w:r>
    </w:p>
    <w:p w14:paraId="16158B98" w14:textId="647B2A91" w:rsidR="00632C48" w:rsidRPr="009301DF" w:rsidRDefault="005F6F63" w:rsidP="00D66098">
      <w:pPr>
        <w:pStyle w:val="Teksttreci0"/>
        <w:framePr w:w="9864" w:h="6879" w:hRule="exact" w:wrap="none" w:vAnchor="page" w:hAnchor="page" w:x="1482" w:y="7351"/>
        <w:ind w:right="3483"/>
      </w:pPr>
      <w:r w:rsidRPr="009301DF">
        <w:t>Zalecenia zawarte w zasadzie weryfikacji stanowią podstawę wymagań określonych w 9 CFR 417.4. Sekcja ta wymaga, aby każdy zakład zatwierdzał adekwatność planu HACCP w zakresie kontroli zagrożeń bezpieczeństwa żywności zidentyfikowanych w analizie zagrożeń, zweryfikował, czy plan jest na bieżąco skutecznie wdrażany oraz dokonywał ponownej oceny planu co najmniej raz w roku lub w przypadku wystąpienia nieprzewidzianego zagrożenia lub zmiany, lub za każdym razem, gdy wystąpią jakiekolwiek zmiany, które mogłyby wpłynąć na analizę zagrożeń lub zmienić plan HACCP.</w:t>
      </w:r>
    </w:p>
    <w:p w14:paraId="5398FABE" w14:textId="6CAF09CF" w:rsidR="00632C48" w:rsidRPr="009301DF" w:rsidRDefault="005F6F63" w:rsidP="00D66098">
      <w:pPr>
        <w:pStyle w:val="Teksttreci0"/>
        <w:framePr w:w="9864" w:h="6879" w:hRule="exact" w:wrap="none" w:vAnchor="page" w:hAnchor="page" w:x="1482" w:y="7351"/>
        <w:spacing w:after="0"/>
        <w:ind w:right="3483"/>
      </w:pPr>
      <w:r w:rsidRPr="009301DF">
        <w:t>Chociaż przepisy HACCP zostały wdrożone ponad 15 lat temu, FSIS stwierdził w ramach ocen bezpieczeństwa żywności (</w:t>
      </w:r>
      <w:r w:rsidRPr="009301DF">
        <w:rPr>
          <w:i/>
          <w:iCs/>
        </w:rPr>
        <w:t>Food Safety Assessments - FSA</w:t>
      </w:r>
      <w:r w:rsidRPr="009301DF">
        <w:t>), że zakłady nie spełniły wymogu wstępnej walidacji. W szczególności zakłady nie zebrały niezbędnych danych walidacyjnych wykazujących, że system HACCP działa zgodnie z przeznaczeniem. W związku z tym FSIS ustaliła, że potrzebne są dodatkowe wytyczne dotyczące walidacji systemów HACCP.</w:t>
      </w:r>
    </w:p>
    <w:p w14:paraId="2ED83187" w14:textId="77777777" w:rsidR="00632C48" w:rsidRPr="009301DF" w:rsidRDefault="005F6F63" w:rsidP="003F700F">
      <w:pPr>
        <w:pStyle w:val="Teksttreci0"/>
        <w:framePr w:w="3434" w:h="6701" w:hRule="exact" w:wrap="none" w:vAnchor="page" w:hAnchor="page" w:x="8192" w:y="8064"/>
      </w:pPr>
      <w:r w:rsidRPr="009301DF">
        <w:rPr>
          <w:b/>
        </w:rPr>
        <w:t>Kluczowa definicja</w:t>
      </w:r>
    </w:p>
    <w:p w14:paraId="36F0CE1A" w14:textId="77777777" w:rsidR="00632C48" w:rsidRPr="009301DF" w:rsidRDefault="005F6F63" w:rsidP="003F700F">
      <w:pPr>
        <w:pStyle w:val="Teksttreci0"/>
        <w:framePr w:w="3434" w:h="6701" w:hRule="exact" w:wrap="none" w:vAnchor="page" w:hAnchor="page" w:x="8192" w:y="8064"/>
      </w:pPr>
      <w:r w:rsidRPr="009301DF">
        <w:rPr>
          <w:b/>
          <w:bCs/>
        </w:rPr>
        <w:t>HACCP</w:t>
      </w:r>
      <w:r w:rsidRPr="009301DF">
        <w:t xml:space="preserve"> to naukowy system kontroli procesu, który od dawna stosowany jest w produkcji żywności celem zapobiegania problemom poprzez stosowanie kontroli w tych punktach procesu produkcji żywności, w których zagrożenia mogą być kontrolowane, ograniczane lub eliminowane.</w:t>
      </w:r>
    </w:p>
    <w:p w14:paraId="4F1F8EEA" w14:textId="77777777" w:rsidR="00632C48" w:rsidRPr="009301DF" w:rsidRDefault="005F6F63" w:rsidP="003F700F">
      <w:pPr>
        <w:pStyle w:val="Teksttreci0"/>
        <w:framePr w:w="3434" w:h="6701" w:hRule="exact" w:wrap="none" w:vAnchor="page" w:hAnchor="page" w:x="8192" w:y="8064"/>
        <w:spacing w:after="0"/>
      </w:pPr>
      <w:r w:rsidRPr="009301DF">
        <w:rPr>
          <w:b/>
          <w:bCs/>
        </w:rPr>
        <w:t>System HACCP</w:t>
      </w:r>
      <w:r w:rsidRPr="009301DF">
        <w:t xml:space="preserve"> definiuje się jako działający plan HACCP, w tym sam plan HACCP. Działający plan HACCP obejmuje analizę zagrożeń, wszelką dokumentację pomocniczą, w tym programy warunków wstępnych wspierające decyzje zawarte w analizie zagrożeń, oraz wszystkie 3 rejestry HACCP.</w:t>
      </w:r>
    </w:p>
    <w:p w14:paraId="08BA8E30" w14:textId="77777777" w:rsidR="00632C48" w:rsidRPr="009301DF" w:rsidRDefault="005F6F63" w:rsidP="003F700F">
      <w:pPr>
        <w:pStyle w:val="Teksttreci0"/>
        <w:framePr w:w="4378" w:h="5289" w:hRule="exact" w:wrap="none" w:vAnchor="page" w:hAnchor="page" w:x="7261" w:y="1095"/>
      </w:pPr>
      <w:r w:rsidRPr="009301DF">
        <w:rPr>
          <w:b/>
        </w:rPr>
        <w:t>Najważniejsze wymagania</w:t>
      </w:r>
    </w:p>
    <w:p w14:paraId="77ED7F7B" w14:textId="77777777" w:rsidR="00632C48" w:rsidRPr="009301DF" w:rsidRDefault="005F6F63" w:rsidP="003F700F">
      <w:pPr>
        <w:pStyle w:val="Teksttreci0"/>
        <w:framePr w:w="4378" w:h="5289" w:hRule="exact" w:wrap="none" w:vAnchor="page" w:hAnchor="page" w:x="7261" w:y="1095"/>
        <w:spacing w:after="0"/>
      </w:pPr>
      <w:r w:rsidRPr="009301DF">
        <w:t>9 CFR 417.4(a)(1) wymaga, aby „po zakończeniu analizy zagrożeń i opracowaniu planu HACCP zakład przeprowadził działania mające na celu ustalenie, czy plan HACCP funkcjonuje zgodnie z przeznaczeniem. Podczas tego okresu walidacji planu HACCP, zakład wielokrotnie testuje adekwatność CCP, limitów krytycznych, procedur monitorowania i prowadzenia dokumentacji oraz działań naprawczych określonych w planie HACCP. Walidacja obejmuje również przeglądy samych zapisów, rutynowo generowanych przez system HACCP, w kontekście innych działań walidacyjnych.”</w:t>
      </w:r>
    </w:p>
    <w:p w14:paraId="6D408CCA"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3" behindDoc="1" locked="0" layoutInCell="1" allowOverlap="1" wp14:anchorId="59879C89" wp14:editId="428D06F1">
            <wp:simplePos x="0" y="0"/>
            <wp:positionH relativeFrom="page">
              <wp:posOffset>4436110</wp:posOffset>
            </wp:positionH>
            <wp:positionV relativeFrom="page">
              <wp:posOffset>508635</wp:posOffset>
            </wp:positionV>
            <wp:extent cx="3035935" cy="9348470"/>
            <wp:effectExtent l="0" t="0" r="0" b="0"/>
            <wp:wrapNone/>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8"/>
                    <a:stretch/>
                  </pic:blipFill>
                  <pic:spPr>
                    <a:xfrm>
                      <a:off x="0" y="0"/>
                      <a:ext cx="3035935" cy="9348470"/>
                    </a:xfrm>
                    <a:prstGeom prst="rect">
                      <a:avLst/>
                    </a:prstGeom>
                  </pic:spPr>
                </pic:pic>
              </a:graphicData>
            </a:graphic>
          </wp:anchor>
        </w:drawing>
      </w:r>
    </w:p>
    <w:p w14:paraId="60660C01" w14:textId="77777777" w:rsidR="00632C48" w:rsidRPr="009301DF" w:rsidRDefault="00632C48">
      <w:pPr>
        <w:spacing w:line="1" w:lineRule="exact"/>
      </w:pPr>
    </w:p>
    <w:p w14:paraId="45E76E7C" w14:textId="77777777" w:rsidR="00632C48" w:rsidRPr="009301DF" w:rsidRDefault="005F6F63" w:rsidP="00D66098">
      <w:pPr>
        <w:pStyle w:val="Nagwek10"/>
        <w:framePr w:w="9480" w:h="7921" w:hRule="exact" w:wrap="none" w:vAnchor="page" w:hAnchor="page" w:x="1482" w:y="526"/>
        <w:spacing w:after="240"/>
      </w:pPr>
      <w:bookmarkStart w:id="7" w:name="bookmark14"/>
      <w:r w:rsidRPr="009301DF">
        <w:t>Czym jest walidacja systemu HACCP?</w:t>
      </w:r>
      <w:bookmarkEnd w:id="7"/>
    </w:p>
    <w:p w14:paraId="5A866901" w14:textId="77777777" w:rsidR="00632C48" w:rsidRPr="009301DF" w:rsidRDefault="005F6F63" w:rsidP="00D66098">
      <w:pPr>
        <w:pStyle w:val="Teksttreci0"/>
        <w:framePr w:w="9480" w:h="7921" w:hRule="exact" w:wrap="none" w:vAnchor="page" w:hAnchor="page" w:x="1482" w:y="526"/>
        <w:spacing w:after="0"/>
      </w:pPr>
      <w:r w:rsidRPr="009301DF">
        <w:t>Walidacja to proces mający na celu wykazanie, że zaprojektowany system HACCP może odpowiednio kontrolować potencjalne zagrożenia w celu wytworzenia bezpiecznego, niezanieczyszczonego produktu.</w:t>
      </w:r>
    </w:p>
    <w:p w14:paraId="71774305" w14:textId="77777777" w:rsidR="00632C48" w:rsidRPr="009301DF" w:rsidRDefault="005F6F63" w:rsidP="00D66098">
      <w:pPr>
        <w:pStyle w:val="Teksttreci0"/>
        <w:framePr w:w="9480" w:h="7921" w:hRule="exact" w:wrap="none" w:vAnchor="page" w:hAnchor="page" w:x="1482" w:y="526"/>
      </w:pPr>
      <w:r w:rsidRPr="009301DF">
        <w:t xml:space="preserve">Walidacja obejmuje działania mające na celu ustalenie, czy cały system HACCP działa zgodnie z przeznaczeniem. </w:t>
      </w:r>
      <w:r w:rsidRPr="009301DF">
        <w:rPr>
          <w:b/>
        </w:rPr>
        <w:t>Walidacja systemu HACCP obejmuje dwa odrębne elementy: 1) projekt i 2) wykonanie. Zgodnie z 9 CFR 417.4(a)(1) zakłady są zobowiązane do zebrania dwóch rodzajów dokumentacji potwierdzającej spełnienie następujących elementów:</w:t>
      </w:r>
    </w:p>
    <w:p w14:paraId="07531A18" w14:textId="71B2C0EA" w:rsidR="00632C48" w:rsidRPr="009301DF" w:rsidRDefault="005F6F63" w:rsidP="00D66098">
      <w:pPr>
        <w:pStyle w:val="Teksttreci0"/>
        <w:framePr w:w="9480" w:h="7921" w:hRule="exact" w:wrap="none" w:vAnchor="page" w:hAnchor="page" w:x="1482" w:y="526"/>
        <w:ind w:left="800" w:hanging="360"/>
      </w:pPr>
      <w:r w:rsidRPr="009301DF">
        <w:t xml:space="preserve">1. </w:t>
      </w:r>
      <w:r w:rsidRPr="009301DF">
        <w:tab/>
        <w:t>Wsparcie naukowe lub techniczne dla projektu systemu HACCP (projekt) - czyli zasady teoretyczne, porady ekspertów z organów zajmujących się przetwarzaniem, dane naukowe lub techniczne, recenzowane artykuły z czasopism, programy modelowania patogenów lub inne informacje wykazujące, że dane środki kontroli procesu mogą odpowiednio zapobiegać, ograniczać lub eliminować określone zagrożenia; oraz</w:t>
      </w:r>
    </w:p>
    <w:p w14:paraId="1A1CC730" w14:textId="719FC8BE" w:rsidR="00632C48" w:rsidRPr="009301DF" w:rsidRDefault="005F6F63" w:rsidP="00D66098">
      <w:pPr>
        <w:pStyle w:val="Teksttreci0"/>
        <w:framePr w:w="9480" w:h="7921" w:hRule="exact" w:wrap="none" w:vAnchor="page" w:hAnchor="page" w:x="1482" w:y="526"/>
        <w:ind w:left="800" w:hanging="360"/>
      </w:pPr>
      <w:r w:rsidRPr="00A371E8">
        <w:t xml:space="preserve">2. </w:t>
      </w:r>
      <w:r w:rsidRPr="00A371E8">
        <w:tab/>
        <w:t>Dane walidacyjne w zakładzie (wykonanie) - czyli obserwacje w zakładzie,</w:t>
      </w:r>
      <w:r w:rsidRPr="009301DF">
        <w:t xml:space="preserve"> pomiary, wyniki badań mikrobiologicznych lub inne informacje wykazujące, że środki kontroli zawarte w HACCP mogą działać w danym zakładzie zgodnie z oczekiwaniami tak, aby osiągnąć zamierzony cel w zakresie bezpieczeństwa żywności.</w:t>
      </w:r>
    </w:p>
    <w:p w14:paraId="5D124651" w14:textId="77777777" w:rsidR="00632C48" w:rsidRPr="009301DF" w:rsidRDefault="005F6F63" w:rsidP="00D66098">
      <w:pPr>
        <w:pStyle w:val="Teksttreci0"/>
        <w:framePr w:w="9480" w:h="7921" w:hRule="exact" w:wrap="none" w:vAnchor="page" w:hAnchor="page" w:x="1482" w:y="526"/>
        <w:spacing w:after="0"/>
      </w:pPr>
      <w:r w:rsidRPr="009301DF">
        <w:t>Zgodnie z 9 CFR 417.5(a)(1) i 9 CFR 417.5(a)(2), wspomniane dokumenty potwierdzające muszą być przechowywane przez cały okres obowiązywania planu. Oba elementy zostaną szczegółowo omówione w niniejszym dokumencie. Podsumowując, w celu walidacji systemu HACCP zakłady powinny:</w:t>
      </w:r>
    </w:p>
    <w:p w14:paraId="21206F03" w14:textId="7BC13B4D" w:rsidR="00632C48" w:rsidRPr="009301DF" w:rsidRDefault="005F6F63" w:rsidP="00D66098">
      <w:pPr>
        <w:pStyle w:val="Podpisobrazu0"/>
        <w:framePr w:w="2131" w:h="2686" w:hRule="exact" w:wrap="none" w:vAnchor="page" w:hAnchor="page" w:x="1561" w:y="9121"/>
        <w:pBdr>
          <w:top w:val="single" w:sz="0" w:space="0" w:color="67498B"/>
          <w:left w:val="single" w:sz="0" w:space="0" w:color="67498B"/>
          <w:bottom w:val="single" w:sz="0" w:space="0" w:color="67498B"/>
          <w:right w:val="single" w:sz="0" w:space="0" w:color="67498B"/>
        </w:pBdr>
        <w:shd w:val="clear" w:color="auto" w:fill="67498B"/>
        <w:spacing w:after="0" w:line="233" w:lineRule="auto"/>
        <w:jc w:val="center"/>
        <w:rPr>
          <w:sz w:val="32"/>
          <w:szCs w:val="32"/>
        </w:rPr>
      </w:pPr>
      <w:r w:rsidRPr="009301DF">
        <w:rPr>
          <w:rFonts w:ascii="Calibri" w:hAnsi="Calibri"/>
          <w:color w:val="FFFFFF"/>
          <w:sz w:val="32"/>
        </w:rPr>
        <w:t>Element 1: Wsparcie naukowe lub techniczne (projektowanie)</w:t>
      </w:r>
    </w:p>
    <w:p w14:paraId="2CF6A7CD" w14:textId="310A1074" w:rsidR="00632C48" w:rsidRPr="009301DF" w:rsidRDefault="005F6F63" w:rsidP="00D66098">
      <w:pPr>
        <w:pStyle w:val="Podpisobrazu0"/>
        <w:framePr w:w="2064" w:h="2236" w:hRule="exact" w:wrap="none" w:vAnchor="page" w:hAnchor="page" w:x="1631" w:y="12706"/>
        <w:pBdr>
          <w:top w:val="single" w:sz="0" w:space="0" w:color="2D97B4"/>
          <w:left w:val="single" w:sz="0" w:space="0" w:color="2D97B4"/>
          <w:bottom w:val="single" w:sz="0" w:space="0" w:color="2D97B4"/>
          <w:right w:val="single" w:sz="0" w:space="0" w:color="2D97B4"/>
        </w:pBdr>
        <w:shd w:val="clear" w:color="auto" w:fill="2D97B4"/>
        <w:spacing w:after="80" w:line="214" w:lineRule="auto"/>
        <w:jc w:val="center"/>
        <w:rPr>
          <w:sz w:val="32"/>
          <w:szCs w:val="32"/>
        </w:rPr>
      </w:pPr>
      <w:r w:rsidRPr="009301DF">
        <w:rPr>
          <w:rFonts w:ascii="Calibri" w:hAnsi="Calibri"/>
          <w:color w:val="FFFFFF"/>
          <w:sz w:val="32"/>
        </w:rPr>
        <w:t>Element 2: Dane walidacyjne w zakładzie (wykonanie)</w:t>
      </w:r>
    </w:p>
    <w:p w14:paraId="0D901E25" w14:textId="11071A77" w:rsidR="00632C48" w:rsidRPr="009301DF" w:rsidRDefault="005F6F63" w:rsidP="003F700F">
      <w:pPr>
        <w:pStyle w:val="Podpisobrazu0"/>
        <w:framePr w:w="6890" w:h="2822" w:hRule="exact" w:wrap="none" w:vAnchor="page" w:hAnchor="page" w:x="3829" w:y="8578"/>
        <w:numPr>
          <w:ilvl w:val="0"/>
          <w:numId w:val="6"/>
        </w:numPr>
        <w:spacing w:after="260" w:line="216" w:lineRule="auto"/>
        <w:ind w:left="426"/>
        <w:rPr>
          <w:sz w:val="22"/>
          <w:szCs w:val="22"/>
        </w:rPr>
      </w:pPr>
      <w:r w:rsidRPr="009301DF">
        <w:rPr>
          <w:sz w:val="22"/>
        </w:rPr>
        <w:t xml:space="preserve">Gromadzić wsparcie naukowe lub techniczne (np. opublikowane wytyczne dotyczące przetwarzania, artykuły w czasopismach, badania porównawcze </w:t>
      </w:r>
      <w:r w:rsidR="00D66098" w:rsidRPr="009301DF">
        <w:rPr>
          <w:sz w:val="22"/>
        </w:rPr>
        <w:t>itp.</w:t>
      </w:r>
      <w:r w:rsidRPr="009301DF">
        <w:rPr>
          <w:sz w:val="22"/>
        </w:rPr>
        <w:t>) dla swoich HACCP które:</w:t>
      </w:r>
    </w:p>
    <w:p w14:paraId="6CE12D88" w14:textId="4FFFB55B" w:rsidR="00632C48" w:rsidRPr="009301DF" w:rsidRDefault="005F6F63" w:rsidP="003F700F">
      <w:pPr>
        <w:pStyle w:val="Podpisobrazu0"/>
        <w:framePr w:w="6890" w:h="2822" w:hRule="exact" w:wrap="none" w:vAnchor="page" w:hAnchor="page" w:x="3829" w:y="8578"/>
        <w:numPr>
          <w:ilvl w:val="0"/>
          <w:numId w:val="6"/>
        </w:numPr>
        <w:spacing w:after="260" w:line="218" w:lineRule="auto"/>
        <w:ind w:left="426"/>
        <w:jc w:val="both"/>
        <w:rPr>
          <w:sz w:val="22"/>
          <w:szCs w:val="22"/>
        </w:rPr>
      </w:pPr>
      <w:r w:rsidRPr="009301DF">
        <w:rPr>
          <w:sz w:val="22"/>
        </w:rPr>
        <w:t>ściśle odpowiada rzeczywistemu procesowi; oraz</w:t>
      </w:r>
    </w:p>
    <w:p w14:paraId="159CAE2C" w14:textId="1FDD464B" w:rsidR="00632C48" w:rsidRPr="009301DF" w:rsidRDefault="005F6F63" w:rsidP="003F700F">
      <w:pPr>
        <w:pStyle w:val="Podpisobrazu0"/>
        <w:framePr w:w="6890" w:h="2822" w:hRule="exact" w:wrap="none" w:vAnchor="page" w:hAnchor="page" w:x="3829" w:y="8578"/>
        <w:numPr>
          <w:ilvl w:val="0"/>
          <w:numId w:val="6"/>
        </w:numPr>
        <w:spacing w:after="260" w:line="218" w:lineRule="auto"/>
        <w:ind w:left="426"/>
        <w:jc w:val="both"/>
        <w:rPr>
          <w:sz w:val="22"/>
          <w:szCs w:val="22"/>
        </w:rPr>
      </w:pPr>
      <w:r w:rsidRPr="009301DF">
        <w:rPr>
          <w:sz w:val="22"/>
        </w:rPr>
        <w:t>Pokazuje, że proces stosowany w zakładzie zapobiega, zmniejsza lub eliminuje zagrożenie zidentyfikowane w analizie zagrożeń; oraz</w:t>
      </w:r>
    </w:p>
    <w:p w14:paraId="36D299E3" w14:textId="06DE63BF" w:rsidR="00632C48" w:rsidRPr="009301DF" w:rsidRDefault="005F6F63" w:rsidP="003F700F">
      <w:pPr>
        <w:pStyle w:val="Podpisobrazu0"/>
        <w:framePr w:w="6890" w:h="2822" w:hRule="exact" w:wrap="none" w:vAnchor="page" w:hAnchor="page" w:x="3829" w:y="8578"/>
        <w:numPr>
          <w:ilvl w:val="0"/>
          <w:numId w:val="6"/>
        </w:numPr>
        <w:spacing w:after="0" w:line="218" w:lineRule="auto"/>
        <w:ind w:left="426"/>
        <w:jc w:val="both"/>
        <w:rPr>
          <w:sz w:val="22"/>
          <w:szCs w:val="22"/>
        </w:rPr>
      </w:pPr>
      <w:r w:rsidRPr="009301DF">
        <w:rPr>
          <w:sz w:val="22"/>
        </w:rPr>
        <w:t>identyfikuje krytyczne parametry operacyjne na podstawie wsparcia naukowego istotnego dla procesu stosowanego w zakładzie.</w:t>
      </w:r>
    </w:p>
    <w:p w14:paraId="48667361" w14:textId="1CA54837" w:rsidR="00632C48" w:rsidRPr="009301DF" w:rsidRDefault="005F6F63" w:rsidP="003F700F">
      <w:pPr>
        <w:pStyle w:val="Podpisobrazu0"/>
        <w:framePr w:w="6671" w:h="3278" w:hRule="exact" w:wrap="none" w:vAnchor="page" w:hAnchor="page" w:x="3805" w:y="11766"/>
        <w:numPr>
          <w:ilvl w:val="0"/>
          <w:numId w:val="6"/>
        </w:numPr>
        <w:spacing w:after="260" w:line="216" w:lineRule="auto"/>
        <w:ind w:left="567"/>
        <w:rPr>
          <w:sz w:val="22"/>
          <w:szCs w:val="22"/>
        </w:rPr>
      </w:pPr>
      <w:r w:rsidRPr="009301DF">
        <w:rPr>
          <w:sz w:val="22"/>
        </w:rPr>
        <w:t>Wdrażać krytyczne parametry operacyjne w rzeczywistym procesie produkcyjnym zgodne z parametrami zawartymi we wsparciu naukowym lub technicznym;</w:t>
      </w:r>
    </w:p>
    <w:p w14:paraId="1D6528E2" w14:textId="0F1B7995" w:rsidR="00632C48" w:rsidRPr="009301DF" w:rsidRDefault="005F6F63" w:rsidP="003F700F">
      <w:pPr>
        <w:pStyle w:val="Podpisobrazu0"/>
        <w:framePr w:w="6671" w:h="3278" w:hRule="exact" w:wrap="none" w:vAnchor="page" w:hAnchor="page" w:x="3805" w:y="11766"/>
        <w:numPr>
          <w:ilvl w:val="0"/>
          <w:numId w:val="6"/>
        </w:numPr>
        <w:spacing w:after="260" w:line="218" w:lineRule="auto"/>
        <w:ind w:left="567"/>
        <w:rPr>
          <w:sz w:val="22"/>
          <w:szCs w:val="22"/>
        </w:rPr>
      </w:pPr>
      <w:r w:rsidRPr="009301DF">
        <w:rPr>
          <w:sz w:val="22"/>
        </w:rPr>
        <w:t>Zidentyfikować co najmniej jeden produkt z każdej kategorii HACCP w celu zebrania danych walidacyjnych w zakładzie;</w:t>
      </w:r>
    </w:p>
    <w:p w14:paraId="4CDE1502" w14:textId="2C140D8A" w:rsidR="00632C48" w:rsidRPr="009301DF" w:rsidRDefault="005F6F63" w:rsidP="003F700F">
      <w:pPr>
        <w:pStyle w:val="Podpisobrazu0"/>
        <w:framePr w:w="6671" w:h="3278" w:hRule="exact" w:wrap="none" w:vAnchor="page" w:hAnchor="page" w:x="3805" w:y="11766"/>
        <w:numPr>
          <w:ilvl w:val="0"/>
          <w:numId w:val="6"/>
        </w:numPr>
        <w:spacing w:after="260" w:line="218" w:lineRule="auto"/>
        <w:ind w:left="567"/>
        <w:rPr>
          <w:sz w:val="22"/>
          <w:szCs w:val="22"/>
        </w:rPr>
      </w:pPr>
      <w:r w:rsidRPr="009301DF">
        <w:rPr>
          <w:sz w:val="22"/>
        </w:rPr>
        <w:t>Gromadzić dane w zakładzie wykazujące skuteczność wdrożenia krytycznych parametrów operacyjnych dla co najmniej jednego produktu z każdej kategorii HACCP; oraz</w:t>
      </w:r>
    </w:p>
    <w:p w14:paraId="7ED8BC53" w14:textId="18583AC1" w:rsidR="00632C48" w:rsidRPr="009301DF" w:rsidRDefault="005F6F63" w:rsidP="003F700F">
      <w:pPr>
        <w:pStyle w:val="Podpisobrazu0"/>
        <w:framePr w:w="6671" w:h="3278" w:hRule="exact" w:wrap="none" w:vAnchor="page" w:hAnchor="page" w:x="3805" w:y="11766"/>
        <w:numPr>
          <w:ilvl w:val="0"/>
          <w:numId w:val="6"/>
        </w:numPr>
        <w:tabs>
          <w:tab w:val="left" w:leader="underscore" w:pos="6662"/>
        </w:tabs>
        <w:spacing w:after="0" w:line="218" w:lineRule="auto"/>
        <w:ind w:left="567"/>
        <w:rPr>
          <w:sz w:val="20"/>
          <w:szCs w:val="20"/>
        </w:rPr>
      </w:pPr>
      <w:r w:rsidRPr="009301DF">
        <w:rPr>
          <w:sz w:val="22"/>
        </w:rPr>
        <w:t>Analizować dane w celu ustalenia, czy krytyczne parametry operacyjne są skutecznie wdrażane.</w:t>
      </w:r>
    </w:p>
    <w:p w14:paraId="5BBDAABF"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4" behindDoc="1" locked="0" layoutInCell="1" allowOverlap="1" wp14:anchorId="375016DB" wp14:editId="16899818">
            <wp:simplePos x="0" y="0"/>
            <wp:positionH relativeFrom="page">
              <wp:posOffset>769620</wp:posOffset>
            </wp:positionH>
            <wp:positionV relativeFrom="page">
              <wp:posOffset>5354955</wp:posOffset>
            </wp:positionV>
            <wp:extent cx="6272530" cy="4547870"/>
            <wp:effectExtent l="0" t="0" r="0" b="0"/>
            <wp:wrapNone/>
            <wp:docPr id="9" name="Shape 9"/>
            <wp:cNvGraphicFramePr/>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9"/>
                    <a:stretch/>
                  </pic:blipFill>
                  <pic:spPr>
                    <a:xfrm>
                      <a:off x="0" y="0"/>
                      <a:ext cx="6272530" cy="4547870"/>
                    </a:xfrm>
                    <a:prstGeom prst="rect">
                      <a:avLst/>
                    </a:prstGeom>
                  </pic:spPr>
                </pic:pic>
              </a:graphicData>
            </a:graphic>
          </wp:anchor>
        </w:drawing>
      </w:r>
    </w:p>
    <w:p w14:paraId="164C3F20" w14:textId="77777777" w:rsidR="00632C48" w:rsidRPr="009301DF" w:rsidRDefault="00632C48">
      <w:pPr>
        <w:spacing w:line="1" w:lineRule="exact"/>
      </w:pPr>
    </w:p>
    <w:p w14:paraId="061E6B05" w14:textId="77777777" w:rsidR="00632C48" w:rsidRPr="009301DF" w:rsidRDefault="005F6F63" w:rsidP="00D66098">
      <w:pPr>
        <w:pStyle w:val="Nagwek10"/>
        <w:framePr w:w="9490" w:h="7456" w:hRule="exact" w:wrap="none" w:vAnchor="page" w:hAnchor="page" w:x="1482" w:y="894"/>
      </w:pPr>
      <w:bookmarkStart w:id="8" w:name="bookmark16"/>
      <w:r w:rsidRPr="009301DF">
        <w:t>Jaka jest definicja systemu HACCP i czy programy warunków wstępnych muszą być walidowane?</w:t>
      </w:r>
      <w:bookmarkEnd w:id="8"/>
    </w:p>
    <w:p w14:paraId="57FC61BA" w14:textId="57CDF231" w:rsidR="00632C48" w:rsidRPr="009301DF" w:rsidRDefault="005F6F63" w:rsidP="00D66098">
      <w:pPr>
        <w:pStyle w:val="Teksttreci0"/>
        <w:framePr w:w="9490" w:h="7456" w:hRule="exact" w:wrap="none" w:vAnchor="page" w:hAnchor="page" w:x="1482" w:y="894"/>
      </w:pPr>
      <w:r w:rsidRPr="009301DF">
        <w:t>Walidacja systemu HACCP obejmuje walidację krytycznych punktów kontroli w planie HACCP, a także wszelkich interwencji lub procesów wykorzystywanych do wspierania decyzji w analizie zagrożeń. Przepisy stanowią, że „[w]</w:t>
      </w:r>
      <w:r w:rsidR="00D66098" w:rsidRPr="009301DF">
        <w:t>walidacja</w:t>
      </w:r>
      <w:r w:rsidRPr="009301DF">
        <w:t xml:space="preserve"> ... obejmuje przeglądy samych zapisów, rutynowo generowanych przez system HACCP, w kontekście innych działań walidacyjnych” (9 CFR 417.4(a)(1)). Ponieważ wyniki uzyskane w ramach programów warunków wstępnych mogą mieć wpływ na decyzje podejmowane w ramach analizy zagrożeń, zakład jest zobowiązany do prowadzenia rejestrów związanych z tymi programami jako dokumentacji uzupełniającej analizę zagrożeń (9 CFR 417.5(a)). Innymi słowy, gdy zakład ustali, że potencjalne zagrożenie nie jest racjonalnie prawdopodobne, ponieważ wdrożenie programu warunków wstępnych (np. SOP, pisemne procedury dotyczące higienicznego oprawiania tusz włączone do programów warunków wstępnych, specyfikacje zakupu, interwencje przeciwdrobnoustrojowe) zapobiega warunkom, które sprawiają, że potencjalne zagrożenie jest prawdopodobne, ten program warunków wstępnych staje się częścią systemu HACCP i w rezultacie musi zostać zatwierdzony. Oznacza to, że zakłady muszą utrzymywać wsparcie naukowe lub techniczne dla projektowania tych programów warunków wstępnych wykorzystywanych do wspierania decyzji w analizie zagrożeń (element 1 walidacji) oraz muszą gromadzić dane walidacyjne w zakładzie, aby potwierdzić, że programy są wdrażane zgodnie z projektem (element 2).</w:t>
      </w:r>
    </w:p>
    <w:p w14:paraId="083DFE48" w14:textId="77777777" w:rsidR="00632C48" w:rsidRPr="009301DF" w:rsidRDefault="005F6F63" w:rsidP="00D66098">
      <w:pPr>
        <w:pStyle w:val="Teksttreci0"/>
        <w:framePr w:w="9490" w:h="7456" w:hRule="exact" w:wrap="none" w:vAnchor="page" w:hAnchor="page" w:x="1482" w:y="894"/>
        <w:spacing w:after="0"/>
      </w:pPr>
      <w:r w:rsidRPr="009301DF">
        <w:t>Z tego powodu w pozostałej części niniejszego dokumentu omawiany jest system HACCP, a nie tylko plan HACCP.</w:t>
      </w:r>
    </w:p>
    <w:p w14:paraId="4D50BE3D" w14:textId="77777777" w:rsidR="00632C48" w:rsidRPr="009301DF" w:rsidRDefault="005F6F63" w:rsidP="00D66098">
      <w:pPr>
        <w:pStyle w:val="Podpisobrazu0"/>
        <w:framePr w:w="9178" w:h="4074" w:hRule="exact" w:wrap="none" w:vAnchor="page" w:hAnchor="page" w:x="1645" w:y="8880"/>
        <w:shd w:val="clear" w:color="auto" w:fill="E9F0F8"/>
      </w:pPr>
      <w:r w:rsidRPr="009301DF">
        <w:rPr>
          <w:b/>
        </w:rPr>
        <w:t>KLUCZOWE PYTANIE</w:t>
      </w:r>
    </w:p>
    <w:p w14:paraId="2D9EF8D6" w14:textId="77777777" w:rsidR="00632C48" w:rsidRPr="009301DF" w:rsidRDefault="005F6F63" w:rsidP="00D66098">
      <w:pPr>
        <w:pStyle w:val="Podpisobrazu0"/>
        <w:framePr w:w="9178" w:h="4074" w:hRule="exact" w:wrap="none" w:vAnchor="page" w:hAnchor="page" w:x="1645" w:y="8880"/>
        <w:shd w:val="clear" w:color="auto" w:fill="E9F0F8"/>
      </w:pPr>
      <w:r w:rsidRPr="009301DF">
        <w:t>Pytanie: Czy zakłady są zobowiązane do gromadzenia u siebie danych mikrobiologicznych w celu spełnienia wymogów wstępnej walidacji?</w:t>
      </w:r>
    </w:p>
    <w:p w14:paraId="46BCF8F1" w14:textId="77777777" w:rsidR="00632C48" w:rsidRPr="009301DF" w:rsidRDefault="005F6F63" w:rsidP="00D66098">
      <w:pPr>
        <w:pStyle w:val="Podpisobrazu0"/>
        <w:framePr w:w="9178" w:h="4074" w:hRule="exact" w:wrap="none" w:vAnchor="page" w:hAnchor="page" w:x="1645" w:y="8880"/>
        <w:shd w:val="clear" w:color="auto" w:fill="E9F0F8"/>
        <w:spacing w:after="0"/>
      </w:pPr>
      <w:r w:rsidRPr="009301DF">
        <w:t>Odpowiedź: FSIS zachęca zakłady do gromadzenia u siebie danych mikrobiologicznych w ramach danych walidacyjnych w zakładzie, ale nie wymaga, aby to robiły, pod warunkiem, że zakład ma odpowiednie wsparcie naukowe lub techniczne (pierwszy element walidacji), przestrzega parametrów zawartych we wsparciu naukowym lub technicznym i może wykazać, że jest w stanie spełnić parametry krytyczne podczas pracy poprzez dane walidacyjne w zakładzie (drugi element walidacji). Omówienie wsparcia naukowego i technicznego można znaleźć na stronie 6, a omówienie danych z zakładu można znaleźć na stronie 20.</w:t>
      </w:r>
    </w:p>
    <w:p w14:paraId="5AA70F2A"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5" behindDoc="1" locked="0" layoutInCell="1" allowOverlap="1" wp14:anchorId="379C7D9A" wp14:editId="098B4F38">
            <wp:simplePos x="0" y="0"/>
            <wp:positionH relativeFrom="page">
              <wp:posOffset>852170</wp:posOffset>
            </wp:positionH>
            <wp:positionV relativeFrom="page">
              <wp:posOffset>5427980</wp:posOffset>
            </wp:positionV>
            <wp:extent cx="6285230" cy="3700145"/>
            <wp:effectExtent l="0" t="0" r="0" b="0"/>
            <wp:wrapNone/>
            <wp:docPr id="11" name="Shape 11"/>
            <wp:cNvGraphicFramePr/>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20"/>
                    <a:stretch/>
                  </pic:blipFill>
                  <pic:spPr>
                    <a:xfrm>
                      <a:off x="0" y="0"/>
                      <a:ext cx="6285230" cy="3700145"/>
                    </a:xfrm>
                    <a:prstGeom prst="rect">
                      <a:avLst/>
                    </a:prstGeom>
                  </pic:spPr>
                </pic:pic>
              </a:graphicData>
            </a:graphic>
          </wp:anchor>
        </w:drawing>
      </w:r>
    </w:p>
    <w:p w14:paraId="55FDA163" w14:textId="77777777" w:rsidR="00632C48" w:rsidRPr="009301DF" w:rsidRDefault="00632C48">
      <w:pPr>
        <w:spacing w:line="1" w:lineRule="exact"/>
      </w:pPr>
    </w:p>
    <w:p w14:paraId="7E2538B7" w14:textId="77777777" w:rsidR="00632C48" w:rsidRPr="009301DF" w:rsidRDefault="005F6F63" w:rsidP="00D66098">
      <w:pPr>
        <w:pStyle w:val="Nagwek10"/>
        <w:framePr w:w="9898" w:h="13629" w:hRule="exact" w:wrap="none" w:vAnchor="page" w:hAnchor="page" w:x="1285" w:y="1096"/>
        <w:ind w:firstLine="220"/>
      </w:pPr>
      <w:bookmarkStart w:id="9" w:name="bookmark18"/>
      <w:r w:rsidRPr="009301DF">
        <w:t>Jaki jest pierwszy element walidacji systemów HACCP?</w:t>
      </w:r>
      <w:bookmarkEnd w:id="9"/>
    </w:p>
    <w:p w14:paraId="74FDB7F1" w14:textId="5FE10AB9" w:rsidR="00632C48" w:rsidRPr="009301DF" w:rsidRDefault="005F6F63" w:rsidP="00D66098">
      <w:pPr>
        <w:pStyle w:val="Teksttreci0"/>
        <w:framePr w:w="9898" w:h="13629" w:hRule="exact" w:wrap="none" w:vAnchor="page" w:hAnchor="page" w:x="1285" w:y="1096"/>
        <w:spacing w:after="260"/>
        <w:ind w:left="220"/>
      </w:pPr>
      <w:r w:rsidRPr="009301DF">
        <w:rPr>
          <w:b/>
          <w:color w:val="76923C"/>
        </w:rPr>
        <w:t>Pierwszym elementem walidacji systemów HACCP jest wsparcie naukowe lub techniczne</w:t>
      </w:r>
      <w:r w:rsidRPr="009301DF">
        <w:t xml:space="preserve"> potwierdzające, że system HACCP jest teoretycznie uzasadniony. Aby spełnić pierwszy element walidacji, zakłady powinny:</w:t>
      </w:r>
    </w:p>
    <w:p w14:paraId="4486954E" w14:textId="17C64882" w:rsidR="00632C48" w:rsidRPr="009301DF" w:rsidRDefault="005F6F63" w:rsidP="00D66098">
      <w:pPr>
        <w:pStyle w:val="Teksttreci0"/>
        <w:framePr w:w="9898" w:h="13629" w:hRule="exact" w:wrap="none" w:vAnchor="page" w:hAnchor="page" w:x="1285" w:y="1096"/>
        <w:numPr>
          <w:ilvl w:val="0"/>
          <w:numId w:val="6"/>
        </w:numPr>
        <w:spacing w:after="0"/>
      </w:pPr>
      <w:r w:rsidRPr="009301DF">
        <w:t>Zgromadzić dane naukowe lub techniczne (np. opublikowane wytyczne dotyczące przetwarzania, artykuły w czasopismach, badania porównawcze itp., które:</w:t>
      </w:r>
    </w:p>
    <w:p w14:paraId="7A1ABBCE" w14:textId="4B472EC7" w:rsidR="00632C48" w:rsidRPr="009301DF" w:rsidRDefault="005F6F63" w:rsidP="00D66098">
      <w:pPr>
        <w:pStyle w:val="Teksttreci0"/>
        <w:framePr w:w="9898" w:h="13629" w:hRule="exact" w:wrap="none" w:vAnchor="page" w:hAnchor="page" w:x="1285" w:y="1096"/>
        <w:numPr>
          <w:ilvl w:val="1"/>
          <w:numId w:val="8"/>
        </w:numPr>
        <w:spacing w:after="0"/>
      </w:pPr>
      <w:r w:rsidRPr="009301DF">
        <w:t>ściśle odpowiada rzeczywistemu procesowi; oraz</w:t>
      </w:r>
    </w:p>
    <w:p w14:paraId="6EA3D24E" w14:textId="3297F13F" w:rsidR="00632C48" w:rsidRPr="009301DF" w:rsidRDefault="005F6F63" w:rsidP="00D66098">
      <w:pPr>
        <w:pStyle w:val="Teksttreci0"/>
        <w:framePr w:w="9898" w:h="13629" w:hRule="exact" w:wrap="none" w:vAnchor="page" w:hAnchor="page" w:x="1285" w:y="1096"/>
        <w:numPr>
          <w:ilvl w:val="1"/>
          <w:numId w:val="8"/>
        </w:numPr>
        <w:spacing w:after="0" w:line="233" w:lineRule="auto"/>
      </w:pPr>
      <w:r w:rsidRPr="009301DF">
        <w:t>wykazuje, że proces prowadzony w zakładzie zapobiega, zmniejsza lub eliminuje zagrożenie zidentyfikowane w analizie zagrożeń; oraz</w:t>
      </w:r>
    </w:p>
    <w:p w14:paraId="1DC7FFEF" w14:textId="1EFAD4E6" w:rsidR="00632C48" w:rsidRPr="009301DF" w:rsidRDefault="005F6F63" w:rsidP="00D66098">
      <w:pPr>
        <w:pStyle w:val="Teksttreci0"/>
        <w:framePr w:w="9898" w:h="13629" w:hRule="exact" w:wrap="none" w:vAnchor="page" w:hAnchor="page" w:x="1285" w:y="1096"/>
        <w:numPr>
          <w:ilvl w:val="0"/>
          <w:numId w:val="6"/>
        </w:numPr>
        <w:spacing w:after="260"/>
      </w:pPr>
      <w:r w:rsidRPr="009301DF">
        <w:t>identyfikuje krytyczne parametry operacyjne pochodzące ze wsparcia naukowego lub technicznego istotne dla procesu prowadzonego w zakładzie.</w:t>
      </w:r>
    </w:p>
    <w:p w14:paraId="1CB24892" w14:textId="77777777" w:rsidR="00632C48" w:rsidRPr="009301DF" w:rsidRDefault="005F6F63" w:rsidP="00D66098">
      <w:pPr>
        <w:pStyle w:val="Teksttreci0"/>
        <w:framePr w:w="9898" w:h="13629" w:hRule="exact" w:wrap="none" w:vAnchor="page" w:hAnchor="page" w:x="1285" w:y="1096"/>
        <w:spacing w:after="260"/>
        <w:ind w:left="220"/>
      </w:pPr>
      <w:r w:rsidRPr="009301DF">
        <w:t>Wsparcie naukowe lub techniczne powinno odzwierciedlać aktualny stan wiedzy i nie może być przestarzałe. Aby zidentyfikować wsparcie naukowe lub techniczne, które ściśle odpowiada rzeczywistemu procesowi, zakłady powinny zrozumieć główne rodzaje dokumentów wsparcia naukowego i technicznego.</w:t>
      </w:r>
    </w:p>
    <w:p w14:paraId="7E96CD38" w14:textId="77777777" w:rsidR="00632C48" w:rsidRPr="009301DF" w:rsidRDefault="005F6F63" w:rsidP="00D66098">
      <w:pPr>
        <w:pStyle w:val="Teksttreci20"/>
        <w:framePr w:w="9898" w:h="13629" w:hRule="exact" w:wrap="none" w:vAnchor="page" w:hAnchor="page" w:x="1285" w:y="1096"/>
        <w:spacing w:after="260"/>
        <w:ind w:left="220"/>
      </w:pPr>
      <w:r w:rsidRPr="009301DF">
        <w:t>Jakie są główne rodzaje dokumentów wsparcia naukowego i technicznego wykorzystywane do spełnienia elementu projektowego walidacji systemów HACCP?</w:t>
      </w:r>
    </w:p>
    <w:p w14:paraId="7A4BE8C8" w14:textId="77777777" w:rsidR="00632C48" w:rsidRPr="009301DF" w:rsidRDefault="005F6F63" w:rsidP="00D66098">
      <w:pPr>
        <w:pStyle w:val="Teksttreci0"/>
        <w:framePr w:w="9898" w:h="13629" w:hRule="exact" w:wrap="none" w:vAnchor="page" w:hAnchor="page" w:x="1285" w:y="1096"/>
        <w:spacing w:after="260"/>
        <w:ind w:left="220"/>
      </w:pPr>
      <w:r w:rsidRPr="009301DF">
        <w:t>Istnieje kilka rodzajów dokumentów, które mogą być wykorzystane jako wsparcie naukowe i techniczne. Należą do nich:</w:t>
      </w:r>
    </w:p>
    <w:p w14:paraId="4D2E4235" w14:textId="72425DB1" w:rsidR="00632C48" w:rsidRPr="009301DF" w:rsidRDefault="005F6F63" w:rsidP="00D66098">
      <w:pPr>
        <w:pStyle w:val="Teksttreci0"/>
        <w:framePr w:w="9898" w:h="13629" w:hRule="exact" w:wrap="none" w:vAnchor="page" w:hAnchor="page" w:x="1285" w:y="1096"/>
        <w:spacing w:after="0"/>
        <w:ind w:left="560" w:hanging="340"/>
      </w:pPr>
      <w:r w:rsidRPr="009301DF">
        <w:t xml:space="preserve">1. </w:t>
      </w:r>
      <w:r w:rsidRPr="009301DF">
        <w:tab/>
      </w:r>
      <w:r w:rsidRPr="009301DF">
        <w:rPr>
          <w:u w:val="single"/>
        </w:rPr>
        <w:t>Opublikowane wytyczne dotyczące przetwarzania</w:t>
      </w:r>
      <w:r w:rsidRPr="009301DF">
        <w:t xml:space="preserve">, które osiągają określoną redukcję patogenu, są przykładami wsparcia naukowego. Wytyczne czasowo-temperaturowe w </w:t>
      </w:r>
      <w:hyperlink r:id="rId21" w:history="1">
        <w:r w:rsidRPr="009301DF">
          <w:t xml:space="preserve"> </w:t>
        </w:r>
        <w:r w:rsidRPr="009301DF">
          <w:rPr>
            <w:color w:val="0000FF"/>
            <w:u w:val="single"/>
          </w:rPr>
          <w:t>Dodatku</w:t>
        </w:r>
        <w:r w:rsidRPr="009301DF">
          <w:rPr>
            <w:i/>
            <w:color w:val="0000FF"/>
            <w:u w:val="single"/>
          </w:rPr>
          <w:t xml:space="preserve"> A</w:t>
        </w:r>
        <w:r w:rsidRPr="009301DF">
          <w:rPr>
            <w:color w:val="0000FF"/>
          </w:rPr>
          <w:t xml:space="preserve"> </w:t>
        </w:r>
      </w:hyperlink>
      <w:r w:rsidRPr="009301DF">
        <w:t xml:space="preserve"> do </w:t>
      </w:r>
      <w:r w:rsidR="00406A61" w:rsidRPr="009301DF">
        <w:t>końcowej</w:t>
      </w:r>
      <w:r w:rsidRPr="009301DF">
        <w:t xml:space="preserve"> zasady „Normy wydajności dla produkcji niektórych produktów mięsnych i drobiowych” (</w:t>
      </w:r>
      <w:r w:rsidRPr="009301DF">
        <w:rPr>
          <w:i/>
          <w:iCs/>
        </w:rPr>
        <w:t>Performance Standards for the Production of Certain Meat and Poultry Products)</w:t>
      </w:r>
      <w:r w:rsidRPr="009301DF">
        <w:t xml:space="preserve"> (64 FR 746-748) są przykładem wytycznych, które odnoszą się do śmiertelności procesu. Wytyczne w</w:t>
      </w:r>
      <w:hyperlink r:id="rId22" w:history="1">
        <w:r w:rsidRPr="009301DF">
          <w:t xml:space="preserve"> </w:t>
        </w:r>
        <w:r w:rsidRPr="009301DF">
          <w:rPr>
            <w:i/>
            <w:color w:val="0000FF"/>
            <w:u w:val="single"/>
          </w:rPr>
          <w:t>Dodatek B</w:t>
        </w:r>
        <w:r w:rsidRPr="009301DF">
          <w:rPr>
            <w:i/>
            <w:u w:val="single"/>
          </w:rPr>
          <w:t>,</w:t>
        </w:r>
      </w:hyperlink>
      <w:r w:rsidRPr="009301DF">
        <w:rPr>
          <w:i/>
        </w:rPr>
        <w:t>, Wytyczne zgodności dotyczące chłodzenia mięsa i produktów drobiowych poddanych obróbce cieplnej (stabilizacja)(Compliance Guidelines for Cooling Heat- Treated Meat and Poultry Products (Stabilization)), dotyczą stabilizacji produktu w celu spełnienia wymagań 9 CFR 318.17(a)(2), 9 CFR 318.23(c)(1) i 9 CFR 381.150(a)(2).</w:t>
      </w:r>
      <w:r w:rsidRPr="009301DF">
        <w:t xml:space="preserve"> Opublikowane wytyczne dotyczące przetwarzania nie ograniczają się do tych opublikowanych przez FSIS. Również opublikowane wytyczne innych agencji, organizacji handlowych lub uniwersytetów mogą być wykorzystywane jako wsparcie naukowe. Publikacje pogłębiające wiedzę mogą być również cytowane jako wsparcie naukowe; jednak takie publikacje często odnoszą się do oryginalnych artykułów w czasopismach, które zostały wykorzystane do opracowania wsparcia. W tych przypadkach zakłady powinny posiadać w swoich aktach oryginalne artykuły z czasopism, do których odniesienia znajdują się w publikacjach pogłębiających wiedzę, ponieważ często nie zawierają one wszystkich krytycznych parametrów operacyjnych, które zakłady musiałyby wdrożyć. Zakłady potrzebują informacji na temat wszystkich krytycznych parametrów operacyjnych w celu ustalenia, czy proces przedstawiony w publikacji odpowiada ich rzeczywistemu procesowi.</w:t>
      </w:r>
    </w:p>
    <w:p w14:paraId="02AEC758"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06223784" w14:textId="77777777" w:rsidR="00632C48" w:rsidRPr="009301DF" w:rsidRDefault="00632C48">
      <w:pPr>
        <w:spacing w:line="1" w:lineRule="exact"/>
      </w:pPr>
    </w:p>
    <w:p w14:paraId="634B5225" w14:textId="784E7A8B" w:rsidR="00632C48" w:rsidRPr="009301DF" w:rsidRDefault="005F6F63" w:rsidP="00D66098">
      <w:pPr>
        <w:pStyle w:val="Teksttreci0"/>
        <w:framePr w:w="9898" w:h="9053" w:hRule="exact" w:wrap="none" w:vAnchor="page" w:hAnchor="page" w:x="1285" w:y="729"/>
        <w:spacing w:after="0"/>
        <w:ind w:left="560" w:right="3226" w:hanging="340"/>
      </w:pPr>
      <w:r w:rsidRPr="00A371E8">
        <w:t>2.</w:t>
      </w:r>
      <w:r w:rsidRPr="009301DF">
        <w:t xml:space="preserve"> </w:t>
      </w:r>
      <w:r w:rsidRPr="009301DF">
        <w:tab/>
      </w:r>
      <w:r w:rsidRPr="009301DF">
        <w:rPr>
          <w:u w:val="single"/>
        </w:rPr>
        <w:t>Recenzowane naukowe lub techniczne dane lub informacje</w:t>
      </w:r>
      <w:r w:rsidRPr="009301DF">
        <w:t xml:space="preserve"> opisujące proces i jego wyniki mogą zapewnić odpowiednie wsparcie naukowe lub techniczne. Ten rodzaj wsparcia może obejmować artykuły w czasopismach, prace dyplomowe studentów lub informacje znalezione w podręczniku. Wszystkie te rodzaje danych naukowych przechodzą proces oceny z udziałem wykwalifikowanych osób z danej dziedziny. Oprócz opisu mikrobiologicznych wyników procesu, dane mogą również opisywać rolę, jaką wewnętrzne i zewnętrzne czynniki produktu odgrywają we wzroście mikroorganizmów. Na przykład podręcznik może zawierać dane na temat limitów wzrostu niektórych patogenów w oparciu o aktywność wody i pH produktu spożywczego. W przypadku artykułów w czasopismach badanie powinno ściśle odnosić się do procesu prowadzonego w zakładzie w odniesieniu do gatunków, cech produktu i sprzętu (w zakresie, w jakim użycie innego sprzętu spowodowałoby niemożność osiągnięcia krytycznych parametrów badania). Zakład powinien stosować krytyczne parametry operacyjne przytoczone w artykule w czasopiśmie, które pozwalają osiągnąć wymaganą lub oczekiwaną śmiertelność lub stabilizację, jeśli zakład nie zamierza przeprowadzać dodatkowych badań w celu walidacji swojego procesu. Ponadto, w przypadku zagrożeń biologicznych, artykuł naukowy powinien zawierać dane mikrobiologiczne określające poziom redukcji patogenów osiągnięty przez strategię interwencji dla docelowego patogenu zidentyfikowanego w analizie zagrożeń. Brak danych mikrobiologicznych we wsparciu naukowym może budzić wątpliwości co do tego, czy projekt procesu został odpowiednio zwalidowany.</w:t>
      </w:r>
    </w:p>
    <w:p w14:paraId="5B9B38A5" w14:textId="77777777" w:rsidR="00632C48" w:rsidRPr="009301DF" w:rsidRDefault="00632C48" w:rsidP="00D66098">
      <w:pPr>
        <w:pStyle w:val="Teksttreci0"/>
        <w:framePr w:w="9898" w:h="5896" w:hRule="exact" w:wrap="none" w:vAnchor="page" w:hAnchor="page" w:x="1285" w:y="9475"/>
        <w:ind w:firstLine="560"/>
      </w:pPr>
    </w:p>
    <w:p w14:paraId="6CD8FEA9" w14:textId="77777777" w:rsidR="00632C48" w:rsidRPr="009301DF" w:rsidRDefault="005F6F63" w:rsidP="00D66098">
      <w:pPr>
        <w:pStyle w:val="Teksttreci0"/>
        <w:framePr w:w="9898" w:h="5896" w:hRule="exact" w:wrap="none" w:vAnchor="page" w:hAnchor="page" w:x="1285" w:y="9475"/>
        <w:ind w:left="560" w:firstLine="20"/>
      </w:pPr>
      <w:r w:rsidRPr="009301DF">
        <w:rPr>
          <w:b/>
        </w:rPr>
        <w:t xml:space="preserve">UWAGA: </w:t>
      </w:r>
      <w:r w:rsidRPr="009301DF">
        <w:t>Większość czasopism naukowych stosuje proces recenzji naukowej przed opublikowaniem artykułu. W ramach tego procesu naukowcy posiadający specjalistyczną wiedzę na temat poruszany w projekcie artykułu krytycznie go oceniają. Recenzowane czasopisma publikują wyłącznie artykuły, które przeszły proces recenzji naukowej. Proces recenzji pomaga zagwarantować, że publikowane artykuły zawierają solidne prace badawcze. Jeśli zakład wykorzystuje dane naukowe lub techniczne, które nie są poddane recenzji naukowej, zakład może podlegać dodatkowej kontroli ze strony pracowników Agencji wykonujących czynności weryfikacyjne.</w:t>
      </w:r>
    </w:p>
    <w:p w14:paraId="5BAE88BD" w14:textId="2F7A0CEC" w:rsidR="00632C48" w:rsidRPr="009301DF" w:rsidRDefault="005F6F63" w:rsidP="00D66098">
      <w:pPr>
        <w:pStyle w:val="Teksttreci0"/>
        <w:framePr w:w="9898" w:h="5896" w:hRule="exact" w:wrap="none" w:vAnchor="page" w:hAnchor="page" w:x="1285" w:y="9475"/>
        <w:spacing w:after="0"/>
        <w:ind w:left="560" w:hanging="340"/>
      </w:pPr>
      <w:r w:rsidRPr="009301DF">
        <w:t xml:space="preserve">3. </w:t>
      </w:r>
      <w:r w:rsidRPr="009301DF">
        <w:tab/>
      </w:r>
      <w:r w:rsidRPr="009301DF">
        <w:rPr>
          <w:u w:val="single"/>
        </w:rPr>
        <w:t>Porady ekspertów z organów zajmujących się przetwarzaniem</w:t>
      </w:r>
      <w:r w:rsidRPr="009301DF">
        <w:t xml:space="preserve"> mogą być również wykorzystywane jako wsparcie naukowe lub techniczne. Taka porada eksperta może zawierać odniesienie do ustalonych zasad naukowych, jak również odniesienie do recenzowanych danych naukowych. Porady ekspertów z organów przetwórczych nie powinny opierać się wyłącznie na opinii ekspertów. Zasady i dane naukowe powinny odnosić się do produktu i procesu zakładu, jak również do zagrożenia zidentyfikowanego w analizie zagrożeń. Jednym z przykładów wykorzystania porad ekspertów jest uzasadnienie organu zajmującego się przetwarzaniem, dlaczego inny poziom krytycznego parametru operacyjnego niż ten badany w ramach wsparcia naukowego nie powinien mieć wpływu na skuteczność interwencji.</w:t>
      </w:r>
    </w:p>
    <w:p w14:paraId="51C09180" w14:textId="77777777" w:rsidR="00632C48" w:rsidRPr="009301DF" w:rsidRDefault="005F6F63" w:rsidP="00D66098">
      <w:pPr>
        <w:pStyle w:val="Teksttreci0"/>
        <w:framePr w:w="3593" w:h="6706" w:hRule="exact" w:wrap="none" w:vAnchor="page" w:hAnchor="page" w:x="8096" w:y="2446"/>
      </w:pPr>
      <w:r w:rsidRPr="009301DF">
        <w:rPr>
          <w:b/>
        </w:rPr>
        <w:t>Kluczowe definicje</w:t>
      </w:r>
    </w:p>
    <w:p w14:paraId="639AC958" w14:textId="77777777" w:rsidR="00632C48" w:rsidRPr="009301DF" w:rsidRDefault="005F6F63" w:rsidP="00D66098">
      <w:pPr>
        <w:pStyle w:val="Teksttreci0"/>
        <w:framePr w:w="3593" w:h="6706" w:hRule="exact" w:wrap="none" w:vAnchor="page" w:hAnchor="page" w:x="8096" w:y="2446"/>
      </w:pPr>
      <w:r w:rsidRPr="009301DF">
        <w:rPr>
          <w:b/>
          <w:bCs/>
        </w:rPr>
        <w:t>Czynniki wewnętrzne</w:t>
      </w:r>
      <w:r w:rsidRPr="009301DF">
        <w:t xml:space="preserve"> to te nieodłączne parametry żywności, które wpływają na wzrost mikroorganizmów. Przykłady takich czynników obejmują między innymi pH, zawartość wilgoci, aktywność wody czy zawartość składników odżywczych.</w:t>
      </w:r>
    </w:p>
    <w:p w14:paraId="442B19BF" w14:textId="77777777" w:rsidR="00632C48" w:rsidRPr="009301DF" w:rsidRDefault="005F6F63" w:rsidP="00D66098">
      <w:pPr>
        <w:pStyle w:val="Teksttreci0"/>
        <w:framePr w:w="3593" w:h="6706" w:hRule="exact" w:wrap="none" w:vAnchor="page" w:hAnchor="page" w:x="8096" w:y="2446"/>
        <w:spacing w:after="0"/>
      </w:pPr>
      <w:r w:rsidRPr="009301DF">
        <w:rPr>
          <w:b/>
          <w:bCs/>
        </w:rPr>
        <w:t>Czynniki zewnętrzne</w:t>
      </w:r>
      <w:r w:rsidRPr="009301DF">
        <w:t xml:space="preserve"> to parametry zewnętrzne w stosunku do żywności, które wpływają na wzrost mikroorganizmów.</w:t>
      </w:r>
    </w:p>
    <w:p w14:paraId="448799FD" w14:textId="77777777" w:rsidR="00632C48" w:rsidRPr="009301DF" w:rsidRDefault="005F6F63" w:rsidP="00D66098">
      <w:pPr>
        <w:pStyle w:val="Teksttreci0"/>
        <w:framePr w:w="3593" w:h="6706" w:hRule="exact" w:wrap="none" w:vAnchor="page" w:hAnchor="page" w:x="8096" w:y="2446"/>
        <w:spacing w:after="0"/>
      </w:pPr>
      <w:r w:rsidRPr="009301DF">
        <w:t>Przykłady czynników zewnętrznych obejmują między innymi temperaturę przechowywania, czas przechowywania i wilgotność względną.</w:t>
      </w:r>
    </w:p>
    <w:p w14:paraId="212B6471"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6" behindDoc="1" locked="0" layoutInCell="1" allowOverlap="1" wp14:anchorId="406ADBC1" wp14:editId="5E7D4EBB">
            <wp:simplePos x="0" y="0"/>
            <wp:positionH relativeFrom="page">
              <wp:posOffset>5064125</wp:posOffset>
            </wp:positionH>
            <wp:positionV relativeFrom="page">
              <wp:posOffset>1367790</wp:posOffset>
            </wp:positionV>
            <wp:extent cx="2383790" cy="4593590"/>
            <wp:effectExtent l="0" t="0" r="0" b="0"/>
            <wp:wrapNone/>
            <wp:docPr id="13" name="Shape 13"/>
            <wp:cNvGraphicFramePr/>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23"/>
                    <a:stretch/>
                  </pic:blipFill>
                  <pic:spPr>
                    <a:xfrm>
                      <a:off x="0" y="0"/>
                      <a:ext cx="2383790" cy="4593590"/>
                    </a:xfrm>
                    <a:prstGeom prst="rect">
                      <a:avLst/>
                    </a:prstGeom>
                  </pic:spPr>
                </pic:pic>
              </a:graphicData>
            </a:graphic>
          </wp:anchor>
        </w:drawing>
      </w:r>
    </w:p>
    <w:p w14:paraId="18B8FB40" w14:textId="77777777" w:rsidR="00632C48" w:rsidRPr="009301DF" w:rsidRDefault="00632C48">
      <w:pPr>
        <w:spacing w:line="1" w:lineRule="exact"/>
      </w:pPr>
    </w:p>
    <w:p w14:paraId="0B8B8292" w14:textId="6A6207E3" w:rsidR="00632C48" w:rsidRPr="009301DF" w:rsidRDefault="005F6F63" w:rsidP="00D66098">
      <w:pPr>
        <w:pStyle w:val="Teksttreci0"/>
        <w:framePr w:w="9898" w:h="14476" w:hRule="exact" w:wrap="none" w:vAnchor="page" w:hAnchor="page" w:x="1285" w:y="751"/>
        <w:ind w:left="560"/>
      </w:pPr>
      <w:r w:rsidRPr="009301DF">
        <w:t>W ramach uzasadnienia, oprócz własnej opinii eksperta, organ zajmujący się przetwarzaniem powinien zacytować jeden lub więcej recenzowanych zestawów danych naukowych lub dokumentów, które dostarczają naukowego uzasadnienia, dlaczego inny poziom krytycznego parametru operacyjnego powinien być co najmniej tak samo skuteczny jak ten we wsparciu naukowym. Innym przykładem tego, w jaki sposób można wykorzystać porady ekspertów z organu zajmującego się przetwarzaniem, jest wsparcie dla zaplanowanego procesu wytwarzania komercyjnie sterylnego produktu. Przed przetworzeniem produktu w puszce w celu dystrybucji w handlu, zakład musi posiadać harmonogram procesu dla każdej konserwy mięsnej lub drobiowej, która ma być przez zakład zapakowana. Harmonogram procesu stosowany przez zakład jest opracowywany lub określany przez organ zajmujący się</w:t>
      </w:r>
      <w:r w:rsidR="00D66098" w:rsidRPr="009301DF">
        <w:t xml:space="preserve"> </w:t>
      </w:r>
      <w:r w:rsidRPr="009301DF">
        <w:t>przetwarzaniem</w:t>
      </w:r>
      <w:r w:rsidR="00D66098" w:rsidRPr="009301DF">
        <w:t>.</w:t>
      </w:r>
      <w:r w:rsidRPr="009301DF">
        <w:t xml:space="preserve"> Wszelkie zmiany, które mogą negatywnie wpłynąć na adekwatność procesu, muszą również zostać ocenione przez organ zajmujący się przetwarzaniem, a harmonogram procesu odpowiednio zmieniony. Podczas opracowywania harmonogramu procesu organ zajmujący się przetwarzaniem powinien wziąć pod uwagę ustalone zasady naukowe, a także recenzowane dane naukowe w celu ustalenia procesu termicznego, który określi czas w określonej temperaturze niezbędny do zapewnienia zniszczenia laseczek jadu kiełbasianego (</w:t>
      </w:r>
      <w:r w:rsidRPr="009301DF">
        <w:rPr>
          <w:i/>
          <w:iCs/>
        </w:rPr>
        <w:t>Clostridium botulinum</w:t>
      </w:r>
      <w:r w:rsidRPr="009301DF">
        <w:t>) lub innych organizmów psujących, które mogą być obecne.</w:t>
      </w:r>
    </w:p>
    <w:p w14:paraId="021CD6FC" w14:textId="75C02B44" w:rsidR="00632C48" w:rsidRPr="009301DF" w:rsidRDefault="005F6F63" w:rsidP="00D66098">
      <w:pPr>
        <w:pStyle w:val="Teksttreci0"/>
        <w:framePr w:w="9898" w:h="14476" w:hRule="exact" w:wrap="none" w:vAnchor="page" w:hAnchor="page" w:x="1285" w:y="751"/>
        <w:ind w:left="580" w:hanging="360"/>
      </w:pPr>
      <w:r w:rsidRPr="009301DF">
        <w:t xml:space="preserve">4. </w:t>
      </w:r>
      <w:r w:rsidRPr="009301DF">
        <w:tab/>
        <w:t>Badanie kwestionujące lub inokulacyjne, które ma na celu określenie śmiertelności lub stabilizacji procesu, jest również przykładem wsparcia naukowego. Badania te są przeprowadzane w laboratorium lub zakładzie pilotażowym przez organ zajmujący się przetwarzaniem lub eksperta, a czasami można uzyskać do nich dostęp za pośrednictwem Internetu. Dokumentacja w aktach powinna określać poziom redukcji, eliminacji lub kontroli wzrostu patogenów (np. w przypadku stabilizacji); opisywać proces, w tym wszystkie krytyczne parametry wpływające na redukcję lub eliminację; oraz podawać źródło dokumentacji. Takie badania często nie są publikowane w recenzowanych artykułach w czasopismach, ale powinny zawierać taki sam poziom szczegółowości, jak w przypadku recenzowanych badań.</w:t>
      </w:r>
    </w:p>
    <w:p w14:paraId="27704103" w14:textId="77777777" w:rsidR="00632C48" w:rsidRPr="009301DF" w:rsidRDefault="005F6F63" w:rsidP="00D66098">
      <w:pPr>
        <w:pStyle w:val="Teksttreci0"/>
        <w:framePr w:w="9898" w:h="14476" w:hRule="exact" w:wrap="none" w:vAnchor="page" w:hAnchor="page" w:x="1285" w:y="751"/>
        <w:ind w:left="580"/>
      </w:pPr>
      <w:r w:rsidRPr="009301DF">
        <w:t>Badania kwestionujące powinny opierać się na solidnym projekcie statystycznym (tj. projekcie statystycznym, który zapewnia zaufanie do danych) i powinny również wykorzystywać kontrole pozytywne i negatywne. Projekt statystyczny powinien obejmować liczbę próbek zebranych w każdym przedziale czasowym oraz liczbę powtórzeń badania potrzebnych do zapewnienia jego ważności. Istnieją ilościowe metody oceny jakości statystycznej badania (np. analiza mocy). Zgodnie z zaleceniami Amerykańskiego Krajowego Komitetu Doradczego ds. Kryteriów Mikrobiologicznych dla Żywności (NACMCF), liczba próbek analizowanych początkowo i w każdym odstępie czasu podczas przetwarzania lub przechowywania powinna wynosić co najmniej dwie; jednak NACMCF zaleca analizę trzech lub więcej próbek. Według NACMCF należy również przeprowadzić powtórzenia.</w:t>
      </w:r>
      <w:r w:rsidRPr="009301DF">
        <w:rPr>
          <w:color w:val="231F20"/>
        </w:rPr>
        <w:t xml:space="preserve"> Powtórzenia powinny być niezależnymi próbami wykorzystującymi różne partie produktu i materiału inokulacyjnego (inokulum) w celu uwzględnienia różnic w produkcie, inokulum i innych czynnikach. </w:t>
      </w:r>
      <w:r w:rsidRPr="009301DF">
        <w:t>Jeśli liczba próbek analizowanych w każdym przedziale czasowym wynosi tylko dwie, lepiej jest powtórzyć badanie więcej niż dwa razy. W badaniach z trzema lub więcej próbkami testowanymi w każdym przedziale czasowym, dwa powtórzenia są zwykle wystarczające.</w:t>
      </w:r>
    </w:p>
    <w:p w14:paraId="187AE42A" w14:textId="21B2DCE3" w:rsidR="00632C48" w:rsidRPr="009301DF" w:rsidRDefault="005F6F63" w:rsidP="00D66098">
      <w:pPr>
        <w:pStyle w:val="Teksttreci0"/>
        <w:framePr w:w="9898" w:h="14476" w:hRule="exact" w:wrap="none" w:vAnchor="page" w:hAnchor="page" w:x="1285" w:y="751"/>
        <w:spacing w:after="0"/>
        <w:ind w:left="580"/>
      </w:pPr>
      <w:r w:rsidRPr="009301DF">
        <w:rPr>
          <w:b/>
        </w:rPr>
        <w:t xml:space="preserve">UWAGA: </w:t>
      </w:r>
      <w:r w:rsidRPr="009301DF">
        <w:t xml:space="preserve">Więcej informacji na temat przeprowadzania badań kwestionujących można znaleźć w artykule </w:t>
      </w:r>
      <w:r w:rsidRPr="009301DF">
        <w:rPr>
          <w:i/>
          <w:color w:val="0000FF"/>
          <w:u w:val="single"/>
        </w:rPr>
        <w:t>„Parametry do określania protokołów badań inokulowanych opakowań/badań kwestionujących” (Parameters for Determining Inoculated Pack/Challenge Study Protocols)</w:t>
      </w:r>
      <w:r w:rsidR="009301DF">
        <w:rPr>
          <w:i/>
          <w:color w:val="0000FF"/>
          <w:u w:val="single"/>
        </w:rPr>
        <w:t>.</w:t>
      </w:r>
    </w:p>
    <w:p w14:paraId="3D8FE218"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53E18D75" w14:textId="77777777" w:rsidR="00632C48" w:rsidRPr="009301DF" w:rsidRDefault="00632C48">
      <w:pPr>
        <w:spacing w:line="1" w:lineRule="exact"/>
      </w:pPr>
    </w:p>
    <w:p w14:paraId="0EFC9A13" w14:textId="77777777" w:rsidR="00632C48" w:rsidRPr="009301DF" w:rsidRDefault="005F6F63" w:rsidP="00D66098">
      <w:pPr>
        <w:pStyle w:val="Teksttreci0"/>
        <w:framePr w:w="9898" w:h="14386" w:hRule="exact" w:wrap="none" w:vAnchor="page" w:hAnchor="page" w:x="1285" w:y="1171"/>
        <w:ind w:left="580"/>
      </w:pPr>
      <w:r w:rsidRPr="009301DF">
        <w:t xml:space="preserve">opublikowanym przez Amerykański Krajowy Komitet Doradczy ds. Kryteriów Mikrobiologicznych dla Żywności w czasopiśmie </w:t>
      </w:r>
      <w:r w:rsidRPr="009301DF">
        <w:rPr>
          <w:i/>
          <w:iCs/>
        </w:rPr>
        <w:t>Journal of Food Protection</w:t>
      </w:r>
      <w:r w:rsidRPr="009301DF">
        <w:t xml:space="preserve"> w 2010 roku. Aby uzyskać więcej informacji na temat stosowania kontroli pozytywnych i negatywnych w badaniach kwestionujących, a także ogólne wytyczne dotyczące wyboru laboratorium do badań mikrobiologicznych, zapoznaj się z wytycznymi FSIS dla zakładów dotyczącymi wyboru komercyjnego lub prywatnego laboratorium do badań mikrobiologicznych</w:t>
      </w:r>
      <w:hyperlink r:id="rId24" w:history="1">
        <w:r w:rsidRPr="009301DF">
          <w:t xml:space="preserve"> (</w:t>
        </w:r>
        <w:r w:rsidRPr="009301DF">
          <w:rPr>
            <w:i/>
            <w:color w:val="0000FF"/>
            <w:u w:val="single"/>
          </w:rPr>
          <w:t>Establishment</w:t>
        </w:r>
      </w:hyperlink>
      <w:r w:rsidRPr="009301DF">
        <w:rPr>
          <w:i/>
          <w:color w:val="0000FF"/>
          <w:u w:val="single"/>
        </w:rPr>
        <w:t xml:space="preserve"> </w:t>
      </w:r>
      <w:hyperlink r:id="rId25" w:history="1">
        <w:r w:rsidRPr="009301DF">
          <w:rPr>
            <w:i/>
            <w:color w:val="0000FF"/>
            <w:u w:val="single"/>
          </w:rPr>
          <w:t>Guidance for the Selection of a Commercial or Private Microbiological Testing</w:t>
        </w:r>
      </w:hyperlink>
      <w:r w:rsidRPr="009301DF">
        <w:rPr>
          <w:i/>
          <w:color w:val="0000FF"/>
          <w:u w:val="single"/>
        </w:rPr>
        <w:t xml:space="preserve"> </w:t>
      </w:r>
      <w:hyperlink r:id="rId26" w:history="1">
        <w:r w:rsidRPr="009301DF">
          <w:rPr>
            <w:i/>
            <w:color w:val="0000FF"/>
            <w:u w:val="single"/>
          </w:rPr>
          <w:t>Laboratory)</w:t>
        </w:r>
        <w:r w:rsidRPr="009301DF">
          <w:t>.</w:t>
        </w:r>
      </w:hyperlink>
    </w:p>
    <w:p w14:paraId="0BAF72D8" w14:textId="6848CACF" w:rsidR="00632C48" w:rsidRPr="009301DF" w:rsidRDefault="005F6F63" w:rsidP="00D66098">
      <w:pPr>
        <w:pStyle w:val="Teksttreci0"/>
        <w:framePr w:w="9898" w:h="14386" w:hRule="exact" w:wrap="none" w:vAnchor="page" w:hAnchor="page" w:x="1285" w:y="1171"/>
        <w:ind w:left="580" w:hanging="360"/>
      </w:pPr>
      <w:r w:rsidRPr="009301DF">
        <w:t xml:space="preserve">5. </w:t>
      </w:r>
      <w:r w:rsidRPr="009301DF">
        <w:tab/>
      </w:r>
      <w:r w:rsidRPr="009301DF">
        <w:rPr>
          <w:u w:val="single"/>
        </w:rPr>
        <w:t>Programy do modelowania patogenów</w:t>
      </w:r>
      <w:r w:rsidRPr="009301DF">
        <w:t xml:space="preserve"> to oprogramowanie komputerowe, które w oparciu o takie czynniki, jak wzrost, śmiertelność i przeżywalność w roztworze hodowlanym i produktach spożywczych, szacuje wzrost lub spadek liczby drobnoustrojów przenoszonych przez żywność w próbkach żywności z produkcji. Przykłady zastosowań programów do modelowania patogenów obejmują te, które wspierają opracowywanie niestandardowych harmonogramów chłodzenia; w celu zapewnienia bezpieczeństwa produktu wskutek odchyleń w zakresie ogrzewania, chłodzenia i przechowywania; oraz w celu wsparcia poziomu stosowania środków przeciwdrobnoustrojowych. Zakłady mogą wykorzystywać wyniki programów modelowania jako wsparcie naukowe, pod warunkiem, że zakład wprowadza dokładne wartości do programu modelowania i że program modelowania dla danego produktu został zatwierdzony. Dane walidacyjne dla modelu są często dostarczane wraz z programem do modelowania lub można je uzyskać, kontaktując się z twórcą modelu. Wybrany program modelowania powinien być również specyficzny dla patogenu zidentyfikowanego w analizie zagrożeń. Jeśli program do modelowania nie został zwalidowany dla danego produktu, zakład powinien zapewnić dodatkowe wsparcie naukowe dla jego wykorzystania. Takie dodatkowe wsparcie może obejmować dane z zakładu pokazujące rutynowe poziomy patogenów w produkcie lub dokumentację dotyczącą produkcji surowców i zamierzonego zastosowania produktu. Zakłady powinny mieć wyniki modelowania w aktach, do przeglądu, i powinny posiadać dokumentację potwierdzającą wartości wprowadzone do modelu (np. dane profilu czasowo-temperaturowego, pH, stężenie soli).</w:t>
      </w:r>
    </w:p>
    <w:p w14:paraId="64D574D3" w14:textId="4B9951D2" w:rsidR="00632C48" w:rsidRPr="009301DF" w:rsidRDefault="005F6F63" w:rsidP="00D66098">
      <w:pPr>
        <w:pStyle w:val="Teksttreci0"/>
        <w:framePr w:w="9898" w:h="14386" w:hRule="exact" w:wrap="none" w:vAnchor="page" w:hAnchor="page" w:x="1285" w:y="1171"/>
        <w:spacing w:after="0"/>
        <w:ind w:left="580" w:hanging="360"/>
      </w:pPr>
      <w:r w:rsidRPr="009301DF">
        <w:t xml:space="preserve">6. </w:t>
      </w:r>
      <w:r w:rsidRPr="009301DF">
        <w:tab/>
      </w:r>
      <w:r w:rsidRPr="009301DF">
        <w:rPr>
          <w:u w:val="single"/>
        </w:rPr>
        <w:t>Dane zebrane przez zakład na swoim terenie</w:t>
      </w:r>
      <w:r w:rsidRPr="009301DF">
        <w:t xml:space="preserve"> mogą być również wykorzystane do walidacji procesu w ramach badań naukowych lub innych badań. Takie gromadzenie danych można przeprowadzić, jeśli zakład nie może wdrożyć w swoim środowisku procesu przetwarzania zgodnego z dokumentacją podaną w literaturze dotyczącej przetwarzania. Przykładem takiego podejścia może być sytuacja, w której zakład wprowadza nową technologię nieopisaną w literaturze lub stosuje standardową technologię w nietypowy sposób (np. modyfikując krytyczne parametry operacyjne podane w literaturze. W takich przypadkach zakład powinien zebrać dane naukowe i dane z walidacji systemu HACCP przeprowadzonej w warunkach komercyjnych. Na przykład dane mikrobiologiczne mogą wykazać, że proces próżni parowej osiąga określony poziom redukcji dla określonych mikroorganizmów. Jeśli zakład modyfikuje krytyczne parametry operacyjne procesu próżni parowej, wówczas dokumentacja zebrana w zakładzie wykorzystywana do wykazania, że system HACCP jest ważny zgodnie z projektem, powinna zawierać informacje ze wszystkich przeprowadzonych testów, takich jak temperatura pary, czas ekspozycji i wyniki mikrobiologiczne testów wymazów, a także informacje wyjaśniające, czy testy były przeprowadzane rutynowo, czy zgodnie z określonym harmonogramem. Podczas zbierania danych w zakładzie, zakład powinien opracować plan pobierania próbek przed zebraniem danych, aby upewnić się, że zebrane dane będą odpowiednie do dokonania statystycznych ustaleń dotyczących skuteczności.</w:t>
      </w:r>
    </w:p>
    <w:p w14:paraId="6BEFB0DF"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65613C44" w14:textId="77777777" w:rsidR="00632C48" w:rsidRPr="009301DF" w:rsidRDefault="00632C48">
      <w:pPr>
        <w:spacing w:line="1" w:lineRule="exact"/>
      </w:pPr>
    </w:p>
    <w:p w14:paraId="5E51F436" w14:textId="77777777" w:rsidR="00632C48" w:rsidRPr="009301DF" w:rsidRDefault="005F6F63" w:rsidP="00D66098">
      <w:pPr>
        <w:pStyle w:val="Teksttreci0"/>
        <w:framePr w:w="9624" w:h="13464" w:hRule="exact" w:wrap="none" w:vAnchor="page" w:hAnchor="page" w:x="1422" w:y="1066"/>
        <w:spacing w:after="180"/>
        <w:ind w:left="560"/>
      </w:pPr>
      <w:r w:rsidRPr="009301DF">
        <w:t>Dane zebrane w zakładzie mogą również stanowić wsparcie techniczne dla projektu systemu HACCP zakładu. Na przykład zakład może zidentyfikować obcy materiał jako zagrożenie w produkcie mielonym ze względu na używane drewniane palety i sposób załadunku produktu do leja zasypowego. Zakład może stwierdzić, że zagrożenie ciałami obcymi nie jest racjonalnie prawdopodobne ze względu na program warunków wstępnych, który obejmuje kroki podejmowane przez zakład celem dopilnowania, aby kawałki palety nie odłamały się i nie wpadły do młynka, zanieczyszczając produkt. Zakład mógłby gromadzić dane w zakładzie, aby wykazać skuteczność tych procedur technicznych w zapobieganiu wystąpieniu zagrożenia w prowadzonym przez siebie procesie.</w:t>
      </w:r>
    </w:p>
    <w:p w14:paraId="0912B0F5" w14:textId="77777777" w:rsidR="00632C48" w:rsidRPr="009301DF" w:rsidRDefault="005F6F63" w:rsidP="00D66098">
      <w:pPr>
        <w:pStyle w:val="Teksttreci0"/>
        <w:framePr w:w="9624" w:h="13464" w:hRule="exact" w:wrap="none" w:vAnchor="page" w:hAnchor="page" w:x="1422" w:y="1066"/>
        <w:spacing w:after="660"/>
      </w:pPr>
      <w:r w:rsidRPr="009301DF">
        <w:rPr>
          <w:b/>
        </w:rPr>
        <w:t>UWAGA: FSIS nie zaleca wprowadzania patogenów do środowiska zakładu.</w:t>
      </w:r>
    </w:p>
    <w:p w14:paraId="2D1B6BB7" w14:textId="77777777" w:rsidR="00632C48" w:rsidRPr="009301DF" w:rsidRDefault="005F6F63" w:rsidP="00D66098">
      <w:pPr>
        <w:pStyle w:val="Teksttreci0"/>
        <w:framePr w:w="9624" w:h="13464" w:hRule="exact" w:wrap="none" w:vAnchor="page" w:hAnchor="page" w:x="1422" w:y="1066"/>
        <w:ind w:left="560"/>
      </w:pPr>
      <w:r w:rsidRPr="009301DF">
        <w:t>Duże korporacje z wieloma zakładami często przeprowadzają badania w jednym zakładzie, aby uzyskać informacje naukowe służące do walidacji projektu interwencji, a następnie rozszerzyć zastosowanie interwencji na inne zakłady. W przypadku zakładu, w którym zebrano dane, FSIS uznałby dane za dane zebrane wewnętrznie, a zatem dane spełniałyby obie części walidacji (projekt i wykonanie). Jednak w przypadku zakładów, na które rozszerzono stosowanie działania, dane spełniałyby tylko pierwszy element walidacji. Aby spełnić drugi element walidacji, korporacja nadal musiałaby wykazać, że działanie interwencji będzie funkcjonować zgodnie z przeznaczeniem w każdym z tych zakładów, gromadząc dane dotyczące wykonania krytycznych parametrów operacyjnych w tych pozostałych zakładach. Tak więc, w przypadku zagrożeń biologicznych, dane mikrobiologiczne zebrane w jednym zakładzie mogą być wykorzystane do wsparcia skuteczności działania lub procesu (tj. pierwszego elementu walidacji) w innych zakładach w ramach korporacji, które stosują te same procedury.</w:t>
      </w:r>
    </w:p>
    <w:p w14:paraId="1000149D" w14:textId="53E4D156" w:rsidR="00632C48" w:rsidRPr="009301DF" w:rsidRDefault="005F6F63" w:rsidP="00D66098">
      <w:pPr>
        <w:pStyle w:val="Teksttreci0"/>
        <w:framePr w:w="9624" w:h="13464" w:hRule="exact" w:wrap="none" w:vAnchor="page" w:hAnchor="page" w:x="1422" w:y="1066"/>
        <w:ind w:left="560" w:hanging="360"/>
      </w:pPr>
      <w:r w:rsidRPr="009301DF">
        <w:t xml:space="preserve">7. </w:t>
      </w:r>
      <w:r w:rsidRPr="009301DF">
        <w:tab/>
      </w:r>
      <w:r w:rsidRPr="00A371E8">
        <w:rPr>
          <w:u w:val="single"/>
        </w:rPr>
        <w:t>Przepisy dotyczące standardów wydajności</w:t>
      </w:r>
      <w:r w:rsidRPr="009301DF">
        <w:t>, zgodnie z definicją w Kodeksie Przepisów Federalnych (</w:t>
      </w:r>
      <w:r w:rsidRPr="009301DF">
        <w:rPr>
          <w:i/>
          <w:iCs/>
        </w:rPr>
        <w:t>Code of Federal Regulations - C.F.R.</w:t>
      </w:r>
      <w:r w:rsidRPr="009301DF">
        <w:t>), które określają konkretne zalecane procedury, takie jak kombinacje czasu i temperatury, warunki przechowywania lub procedury regeneracji produktu. Wymagania dotyczące schładzania drobiu określone w 9 CFR 381.66 lub wymagania dotyczące włośni w 9 CFR 318.10 są przykładami sytuacji, w których przepisy jasno określają standard skuteczności dla etapu przetwarzania i mogą być wykorzystane do wsparcia projektu systemu HACCP.</w:t>
      </w:r>
    </w:p>
    <w:p w14:paraId="6E23894C" w14:textId="6499E084" w:rsidR="00632C48" w:rsidRPr="009301DF" w:rsidRDefault="005F6F63" w:rsidP="00D66098">
      <w:pPr>
        <w:pStyle w:val="Teksttreci0"/>
        <w:framePr w:w="9624" w:h="13464" w:hRule="exact" w:wrap="none" w:vAnchor="page" w:hAnchor="page" w:x="1422" w:y="1066"/>
        <w:spacing w:after="0"/>
        <w:ind w:left="560" w:hanging="360"/>
      </w:pPr>
      <w:r w:rsidRPr="009301DF">
        <w:t xml:space="preserve">8. </w:t>
      </w:r>
      <w:r w:rsidRPr="009301DF">
        <w:tab/>
      </w:r>
      <w:r w:rsidRPr="009301DF">
        <w:rPr>
          <w:u w:val="single"/>
        </w:rPr>
        <w:t>Wytyczne dotyczące najlepszych praktyk</w:t>
      </w:r>
      <w:r w:rsidRPr="009301DF">
        <w:t xml:space="preserve"> to kolejny przykład wsparcia naukowego lub technicznego. Wytyczne te zazwyczaj zawierają listę procedur lub zestaw zasad, które zostały zidentyfikowane przez ekspertów jako posiadające naukowe lub techniczne podstawy zapobiegania wystąpieniu zagrożenia po ich wdrożeniu. Na przykład, Rada ds. Bezpieczeństwa Żywności Przemysłu Wołowego (</w:t>
      </w:r>
      <w:r w:rsidRPr="009301DF">
        <w:rPr>
          <w:i/>
          <w:iCs/>
        </w:rPr>
        <w:t>Beef Industry Food Safety Council - BIFSCO</w:t>
      </w:r>
      <w:r w:rsidRPr="009301DF">
        <w:t xml:space="preserve">) opracowała dokument zawierający </w:t>
      </w:r>
      <w:hyperlink r:id="rId27" w:history="1">
        <w:r w:rsidRPr="009301DF">
          <w:rPr>
            <w:i/>
            <w:color w:val="0000FF"/>
            <w:u w:val="single"/>
          </w:rPr>
          <w:t>najlepsze praktyki w zakresie uboju wołowiny (Best Practices for Beef Slaughter)</w:t>
        </w:r>
      </w:hyperlink>
      <w:r w:rsidRPr="009301DF">
        <w:t>. Dokument ten może być wykorzystany jako naukowe wsparcie potwierdzające, że program higienicznego oprawiania tusz w zakładzie zapobiega</w:t>
      </w:r>
    </w:p>
    <w:p w14:paraId="645726A3"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7E722922" w14:textId="77777777" w:rsidR="00632C48" w:rsidRPr="009301DF" w:rsidRDefault="00632C48">
      <w:pPr>
        <w:spacing w:line="1" w:lineRule="exact"/>
      </w:pPr>
    </w:p>
    <w:p w14:paraId="7CA0E918" w14:textId="77777777" w:rsidR="00632C48" w:rsidRPr="009301DF" w:rsidRDefault="005F6F63" w:rsidP="00D66098">
      <w:pPr>
        <w:pStyle w:val="Teksttreci0"/>
        <w:framePr w:w="9422" w:h="14491" w:hRule="exact" w:wrap="none" w:vAnchor="page" w:hAnchor="page" w:x="1523" w:y="1006"/>
        <w:spacing w:after="260"/>
        <w:ind w:left="560"/>
      </w:pPr>
      <w:r w:rsidRPr="009301DF">
        <w:t>skażeniu mikroorganizmami takimi jak STEC oraz gwarantuje, że interwencje stosowane w zakładzie osiągają zamierzony efekt.</w:t>
      </w:r>
    </w:p>
    <w:p w14:paraId="441B45B7" w14:textId="77777777" w:rsidR="00632C48" w:rsidRPr="009301DF" w:rsidRDefault="005F6F63" w:rsidP="00D66098">
      <w:pPr>
        <w:pStyle w:val="Teksttreci20"/>
        <w:framePr w:w="9422" w:h="14491" w:hRule="exact" w:wrap="none" w:vAnchor="page" w:hAnchor="page" w:x="1523" w:y="1006"/>
        <w:spacing w:after="260"/>
      </w:pPr>
      <w:r w:rsidRPr="009301DF">
        <w:t>Jakie są przykłady niepełnego wsparcia naukowego lub technicznego?</w:t>
      </w:r>
    </w:p>
    <w:p w14:paraId="654E4B08" w14:textId="77777777" w:rsidR="00632C48" w:rsidRPr="009301DF" w:rsidRDefault="005F6F63" w:rsidP="00D66098">
      <w:pPr>
        <w:pStyle w:val="Teksttreci0"/>
        <w:framePr w:w="9422" w:h="14491" w:hRule="exact" w:wrap="none" w:vAnchor="page" w:hAnchor="page" w:x="1523" w:y="1006"/>
        <w:spacing w:after="260"/>
      </w:pPr>
      <w:r w:rsidRPr="009301DF">
        <w:t>Poniżej przedstawiono przykłady niekompletnego wsparcia naukowego lub technicznego dla walidacji:</w:t>
      </w:r>
    </w:p>
    <w:p w14:paraId="07A14BAD" w14:textId="76F30F2F" w:rsidR="00632C48" w:rsidRPr="009301DF" w:rsidRDefault="005F6F63" w:rsidP="00A371E8">
      <w:pPr>
        <w:pStyle w:val="Teksttreci0"/>
        <w:framePr w:w="9422" w:h="14491" w:hRule="exact" w:wrap="none" w:vAnchor="page" w:hAnchor="page" w:x="1523" w:y="1006"/>
        <w:numPr>
          <w:ilvl w:val="0"/>
          <w:numId w:val="6"/>
        </w:numPr>
        <w:spacing w:after="0"/>
      </w:pPr>
      <w:r w:rsidRPr="009301DF">
        <w:t>Dokumentacja, która określa redukcję log (logarytm dziesiętny) osiągniętą w procesie, ale która nie zawiera informacji o parametrach krytycznych, takich jak pH, kluczowych dla osiągnięcia tej redukcji. Informacje te powinny zostać uwzględnione, aby proces mógł zostać uznany za zwalidowany.</w:t>
      </w:r>
    </w:p>
    <w:p w14:paraId="51E0D030" w14:textId="659A7775" w:rsidR="00632C48" w:rsidRPr="009301DF" w:rsidRDefault="005F6F63" w:rsidP="00A371E8">
      <w:pPr>
        <w:pStyle w:val="Teksttreci0"/>
        <w:framePr w:w="9422" w:h="14491" w:hRule="exact" w:wrap="none" w:vAnchor="page" w:hAnchor="page" w:x="1523" w:y="1006"/>
        <w:numPr>
          <w:ilvl w:val="0"/>
          <w:numId w:val="6"/>
        </w:numPr>
        <w:spacing w:after="0"/>
      </w:pPr>
      <w:r w:rsidRPr="009301DF">
        <w:t>Posiadanie zwalidowanego procesu w dokumentacji, ale nieprzestrzeganie tego procesu.</w:t>
      </w:r>
    </w:p>
    <w:p w14:paraId="389F9EF3" w14:textId="71E5A73B" w:rsidR="00632C48" w:rsidRPr="009301DF" w:rsidRDefault="005F6F63" w:rsidP="00A371E8">
      <w:pPr>
        <w:pStyle w:val="Teksttreci0"/>
        <w:framePr w:w="9422" w:h="14491" w:hRule="exact" w:wrap="none" w:vAnchor="page" w:hAnchor="page" w:x="1523" w:y="1006"/>
        <w:numPr>
          <w:ilvl w:val="0"/>
          <w:numId w:val="6"/>
        </w:numPr>
        <w:spacing w:after="0"/>
      </w:pPr>
      <w:r w:rsidRPr="009301DF">
        <w:t>Walidacja procesu dla określonej redukcji log patogenu w produkcie innym niż mięso i drób. Same dane walidacyjne mogą nie być wystarczającym wsparciem naukowym. Na przykład proces, który osiąga redukcję 5 log (czyli o 99.999%) enterokrwotocznego szczepu pałeczki okrężnicy (</w:t>
      </w:r>
      <w:r w:rsidRPr="009301DF">
        <w:rPr>
          <w:i/>
          <w:iCs/>
        </w:rPr>
        <w:t>Escherichia coli O157:H7</w:t>
      </w:r>
      <w:r w:rsidRPr="009301DF">
        <w:t xml:space="preserve">) w cydrze jabłkowym, nie byłby wystarczającym wsparciem naukowym dla redukcji </w:t>
      </w:r>
      <w:r w:rsidRPr="009301DF">
        <w:rPr>
          <w:i/>
          <w:iCs/>
        </w:rPr>
        <w:t>Escherichia coli O157:H7</w:t>
      </w:r>
      <w:r w:rsidRPr="009301DF">
        <w:t xml:space="preserve"> w procesie produkcji wołowiny.</w:t>
      </w:r>
    </w:p>
    <w:p w14:paraId="5EA19E20" w14:textId="124D7993" w:rsidR="00632C48" w:rsidRPr="009301DF" w:rsidRDefault="005F6F63" w:rsidP="00A371E8">
      <w:pPr>
        <w:pStyle w:val="Teksttreci0"/>
        <w:framePr w:w="9422" w:h="14491" w:hRule="exact" w:wrap="none" w:vAnchor="page" w:hAnchor="page" w:x="1523" w:y="1006"/>
        <w:numPr>
          <w:ilvl w:val="0"/>
          <w:numId w:val="6"/>
        </w:numPr>
        <w:spacing w:after="0"/>
      </w:pPr>
      <w:r w:rsidRPr="009301DF">
        <w:t xml:space="preserve">Wdrożenie interwencji w oparciu o wsparcie naukowe lub techniczne, które nie zawierało danych potwierdzających skuteczność procesu. Na przykład wdrożenie działań interwencyjnych związanej z kwasem mlekowym w programie warunków wstępnych w celu ograniczenia zagrożenia związanego z bakterią </w:t>
      </w:r>
      <w:r w:rsidRPr="009301DF">
        <w:rPr>
          <w:i/>
          <w:iCs/>
        </w:rPr>
        <w:t>E. coli O157:H7</w:t>
      </w:r>
      <w:r w:rsidRPr="009301DF">
        <w:t xml:space="preserve">, którego wystąpienie jest mało prawdopodobne, przy jednoczesnym utrzymaniu wsparcia naukowego w postaci danych mikrobiologicznych dotyczących </w:t>
      </w:r>
      <w:r w:rsidRPr="009301DF">
        <w:rPr>
          <w:i/>
          <w:iCs/>
        </w:rPr>
        <w:t>salmonelli</w:t>
      </w:r>
      <w:r w:rsidRPr="009301DF">
        <w:t>.</w:t>
      </w:r>
    </w:p>
    <w:p w14:paraId="12D4F5A7" w14:textId="77777777" w:rsidR="00A371E8" w:rsidRPr="00A371E8" w:rsidRDefault="00A371E8" w:rsidP="00D66098">
      <w:pPr>
        <w:pStyle w:val="Teksttreci0"/>
        <w:framePr w:w="9422" w:h="14491" w:hRule="exact" w:wrap="none" w:vAnchor="page" w:hAnchor="page" w:x="1523" w:y="1006"/>
        <w:spacing w:after="260"/>
        <w:ind w:left="800"/>
        <w:rPr>
          <w:b/>
          <w:sz w:val="10"/>
          <w:szCs w:val="10"/>
        </w:rPr>
      </w:pPr>
    </w:p>
    <w:p w14:paraId="793C2742" w14:textId="622A7B9C" w:rsidR="00632C48" w:rsidRPr="009301DF" w:rsidRDefault="005F6F63" w:rsidP="00D66098">
      <w:pPr>
        <w:pStyle w:val="Teksttreci0"/>
        <w:framePr w:w="9422" w:h="14491" w:hRule="exact" w:wrap="none" w:vAnchor="page" w:hAnchor="page" w:x="1523" w:y="1006"/>
        <w:spacing w:after="260"/>
        <w:ind w:left="800"/>
      </w:pPr>
      <w:r w:rsidRPr="009301DF">
        <w:rPr>
          <w:b/>
        </w:rPr>
        <w:t xml:space="preserve">UWAGA: </w:t>
      </w:r>
      <w:r w:rsidRPr="009301DF">
        <w:t>Zapewnienie, że wsparcie naukowe zawiera dane mikrobiologiczne dla zagrożenia wymienionego w analizie zagrożeń jest szczególnie ważne w przypadku procesów uboju, w których działania interwencyjne mają różną skuteczność w zależności od gatunku produktu i rodzaju patogenu. W innych przypadkach, takich jak procesy związane ze śmiertelnością, Salmonella może być stosowana jako wskaźnik śmiertelności dla innych patogenów.</w:t>
      </w:r>
    </w:p>
    <w:p w14:paraId="5927AD26" w14:textId="77777777" w:rsidR="00A371E8" w:rsidRDefault="005F6F63" w:rsidP="00D66098">
      <w:pPr>
        <w:pStyle w:val="Teksttreci0"/>
        <w:framePr w:w="9422" w:h="14491" w:hRule="exact" w:wrap="none" w:vAnchor="page" w:hAnchor="page" w:x="1523" w:y="1006"/>
        <w:numPr>
          <w:ilvl w:val="0"/>
          <w:numId w:val="6"/>
        </w:numPr>
        <w:spacing w:after="0"/>
      </w:pPr>
      <w:r w:rsidRPr="009301DF">
        <w:t>Dokumentacja w formie Listu o braku zastrzeżeń (</w:t>
      </w:r>
      <w:r w:rsidRPr="00A371E8">
        <w:rPr>
          <w:i/>
          <w:iCs/>
        </w:rPr>
        <w:t>No Objection Letter</w:t>
      </w:r>
      <w:r w:rsidRPr="009301DF">
        <w:t>) lub Dyrektywy FS/S 7120.1 bez dodatkowego wsparcia naukowego lub technicznego, które dostarcza informacji na temat poziomów wszystkich zastosowanych krytycznych parametrów operacyjnych, oraz bez potwierdzenia skuteczności nowego składnika lub technologii wobec określonych zagrożeń zidentyfikowanych w analizie zagrożeń. Przykłady takiego niezbędnego wsparcia naukowego i technicznego znajdują się na stronach od 6 do 11 niniejszego dokumentu. To dodatkowe wsparcie jest konieczne, ponieważ List o braku zastrzeżeń oraz</w:t>
      </w:r>
      <w:hyperlink r:id="rId28" w:history="1">
        <w:r w:rsidRPr="009301DF">
          <w:t xml:space="preserve"> </w:t>
        </w:r>
        <w:r w:rsidRPr="00A371E8">
          <w:rPr>
            <w:i/>
            <w:color w:val="0000FF"/>
            <w:u w:val="single"/>
          </w:rPr>
          <w:t>Dyrektywa FSIS 7120.1 Bezpieczne i odpowiednie składniki używane w produkcji</w:t>
        </w:r>
      </w:hyperlink>
      <w:r w:rsidRPr="00A371E8">
        <w:rPr>
          <w:i/>
          <w:color w:val="0000FF"/>
          <w:u w:val="single"/>
        </w:rPr>
        <w:t xml:space="preserve"> </w:t>
      </w:r>
      <w:hyperlink r:id="rId29" w:history="1">
        <w:r w:rsidRPr="00A371E8">
          <w:rPr>
            <w:i/>
            <w:color w:val="0000FF"/>
            <w:u w:val="single"/>
          </w:rPr>
          <w:t>mięsa i produktów drobiowych (Safe and Suitable Ingredients Used in the Production of Meat and Poultry Products)</w:t>
        </w:r>
        <w:r w:rsidRPr="00A371E8">
          <w:rPr>
            <w:color w:val="0000FF"/>
          </w:rPr>
          <w:t xml:space="preserve"> </w:t>
        </w:r>
      </w:hyperlink>
      <w:r w:rsidRPr="009301DF">
        <w:t>nie zawierają danych dotyczących skuteczności ani danych dotyczących wszystkich krytycznych parametrów operacyjnych.</w:t>
      </w:r>
    </w:p>
    <w:p w14:paraId="0B44DDD2" w14:textId="0018F97C" w:rsidR="00632C48" w:rsidRPr="009301DF" w:rsidRDefault="005F6F63" w:rsidP="00D66098">
      <w:pPr>
        <w:pStyle w:val="Teksttreci0"/>
        <w:framePr w:w="9422" w:h="14491" w:hRule="exact" w:wrap="none" w:vAnchor="page" w:hAnchor="page" w:x="1523" w:y="1006"/>
        <w:numPr>
          <w:ilvl w:val="0"/>
          <w:numId w:val="6"/>
        </w:numPr>
        <w:spacing w:after="0"/>
      </w:pPr>
      <w:r w:rsidRPr="009301DF">
        <w:t>Ekspertyza wydana przez eksperta organu zajmującego się przetwarzaniem określająca limit wzrostu patogenu bez odniesienia do ustalonych zasad naukowych lub recenzowanych</w:t>
      </w:r>
    </w:p>
    <w:p w14:paraId="6BFE8805"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1EB513A4" w14:textId="77777777" w:rsidR="00632C48" w:rsidRPr="009301DF" w:rsidRDefault="00632C48">
      <w:pPr>
        <w:spacing w:line="1" w:lineRule="exact"/>
      </w:pPr>
    </w:p>
    <w:p w14:paraId="23BF3CBE" w14:textId="77777777" w:rsidR="00632C48" w:rsidRPr="009301DF" w:rsidRDefault="005F6F63" w:rsidP="00D66098">
      <w:pPr>
        <w:pStyle w:val="Teksttreci20"/>
        <w:framePr w:w="9518" w:h="14836" w:hRule="exact" w:wrap="none" w:vAnchor="page" w:hAnchor="page" w:x="1475" w:y="766"/>
      </w:pPr>
      <w:r w:rsidRPr="009301DF">
        <w:t>W jaki sposób zakład może określić, czy wsparcie naukowe lub techniczne ściśle odpowiada procesowi, produktowi i analizie zagrożeń?</w:t>
      </w:r>
    </w:p>
    <w:p w14:paraId="7A8A0768" w14:textId="77777777" w:rsidR="00632C48" w:rsidRPr="009301DF" w:rsidRDefault="005F6F63" w:rsidP="00D66098">
      <w:pPr>
        <w:pStyle w:val="Teksttreci0"/>
        <w:framePr w:w="9518" w:h="14836" w:hRule="exact" w:wrap="none" w:vAnchor="page" w:hAnchor="page" w:x="1475" w:y="766"/>
      </w:pPr>
      <w:r w:rsidRPr="009301DF">
        <w:t>We wszystkich przypadkach wsparcie naukowe lub techniczne powinno określać:</w:t>
      </w:r>
    </w:p>
    <w:p w14:paraId="1C4B1E70" w14:textId="053F913E" w:rsidR="00632C48" w:rsidRPr="009301DF" w:rsidRDefault="005F6F63" w:rsidP="00D66098">
      <w:pPr>
        <w:pStyle w:val="Teksttreci0"/>
        <w:framePr w:w="9518" w:h="14836" w:hRule="exact" w:wrap="none" w:vAnchor="page" w:hAnchor="page" w:x="1475" w:y="766"/>
        <w:numPr>
          <w:ilvl w:val="0"/>
          <w:numId w:val="6"/>
        </w:numPr>
        <w:spacing w:after="0" w:line="276" w:lineRule="auto"/>
      </w:pPr>
      <w:r w:rsidRPr="009301DF">
        <w:t>badany produkt (w tym skład i czynniki wewnętrzne),</w:t>
      </w:r>
    </w:p>
    <w:p w14:paraId="08DB79B2" w14:textId="72B3AD65" w:rsidR="00632C48" w:rsidRPr="009301DF" w:rsidRDefault="005F6F63" w:rsidP="00D66098">
      <w:pPr>
        <w:pStyle w:val="Teksttreci0"/>
        <w:framePr w:w="9518" w:h="14836" w:hRule="exact" w:wrap="none" w:vAnchor="page" w:hAnchor="page" w:x="1475" w:y="766"/>
        <w:numPr>
          <w:ilvl w:val="0"/>
          <w:numId w:val="6"/>
        </w:numPr>
        <w:spacing w:after="0" w:line="276" w:lineRule="auto"/>
      </w:pPr>
      <w:r w:rsidRPr="009301DF">
        <w:t>zagrożenie (biologiczne, fizyczne lub chemiczne),</w:t>
      </w:r>
    </w:p>
    <w:p w14:paraId="66D84E52" w14:textId="720FEC88" w:rsidR="00632C48" w:rsidRPr="009301DF" w:rsidRDefault="005F6F63" w:rsidP="00D66098">
      <w:pPr>
        <w:pStyle w:val="Teksttreci0"/>
        <w:framePr w:w="9518" w:h="14836" w:hRule="exact" w:wrap="none" w:vAnchor="page" w:hAnchor="page" w:x="1475" w:y="766"/>
        <w:numPr>
          <w:ilvl w:val="0"/>
          <w:numId w:val="6"/>
        </w:numPr>
        <w:spacing w:after="0" w:line="276" w:lineRule="auto"/>
      </w:pPr>
      <w:r w:rsidRPr="009301DF">
        <w:t>oczekiwany poziom redukcji lub zapobiegania zagrożeniom, który ma zostać osiągnięty,</w:t>
      </w:r>
    </w:p>
    <w:p w14:paraId="13418386" w14:textId="67F20C86" w:rsidR="00632C48" w:rsidRPr="009301DF" w:rsidRDefault="005F6F63" w:rsidP="00D66098">
      <w:pPr>
        <w:pStyle w:val="Teksttreci0"/>
        <w:framePr w:w="9518" w:h="14836" w:hRule="exact" w:wrap="none" w:vAnchor="page" w:hAnchor="page" w:x="1475" w:y="766"/>
        <w:numPr>
          <w:ilvl w:val="0"/>
          <w:numId w:val="6"/>
        </w:numPr>
        <w:spacing w:after="0" w:line="276" w:lineRule="auto"/>
      </w:pPr>
      <w:r w:rsidRPr="009301DF">
        <w:t>wszystkie niezbędne krytyczne parametry lub warunki operacyjne,</w:t>
      </w:r>
    </w:p>
    <w:p w14:paraId="4167C3C2" w14:textId="77777777" w:rsidR="004365BD" w:rsidRPr="009301DF" w:rsidRDefault="005F6F63" w:rsidP="00D66098">
      <w:pPr>
        <w:pStyle w:val="Teksttreci0"/>
        <w:framePr w:w="9518" w:h="14836" w:hRule="exact" w:wrap="none" w:vAnchor="page" w:hAnchor="page" w:x="1475" w:y="766"/>
        <w:numPr>
          <w:ilvl w:val="0"/>
          <w:numId w:val="6"/>
        </w:numPr>
        <w:spacing w:after="0" w:line="276" w:lineRule="auto"/>
      </w:pPr>
      <w:r w:rsidRPr="009301DF">
        <w:t>etapy przetwarzania, które pozwolą osiągnąć określoną redukcję lub zapobiec zagrożeniu, oraz</w:t>
      </w:r>
    </w:p>
    <w:p w14:paraId="535F5617" w14:textId="7F177170" w:rsidR="00632C48" w:rsidRPr="009301DF" w:rsidRDefault="005F6F63" w:rsidP="00D66098">
      <w:pPr>
        <w:pStyle w:val="Teksttreci0"/>
        <w:framePr w:w="9518" w:h="14836" w:hRule="exact" w:wrap="none" w:vAnchor="page" w:hAnchor="page" w:x="1475" w:y="766"/>
        <w:numPr>
          <w:ilvl w:val="0"/>
          <w:numId w:val="6"/>
        </w:numPr>
        <w:spacing w:after="0" w:line="276" w:lineRule="auto"/>
      </w:pPr>
      <w:r w:rsidRPr="009301DF">
        <w:t>sposób monitorowania tych etapów przetwarzania.</w:t>
      </w:r>
    </w:p>
    <w:p w14:paraId="23D39739" w14:textId="77777777" w:rsidR="004365BD" w:rsidRPr="009301DF" w:rsidRDefault="004365BD" w:rsidP="00D66098">
      <w:pPr>
        <w:pStyle w:val="Teksttreci0"/>
        <w:framePr w:w="9518" w:h="14836" w:hRule="exact" w:wrap="none" w:vAnchor="page" w:hAnchor="page" w:x="1475" w:y="766"/>
        <w:spacing w:after="0" w:line="276" w:lineRule="auto"/>
      </w:pPr>
    </w:p>
    <w:p w14:paraId="0B7682DB" w14:textId="77777777" w:rsidR="00632C48" w:rsidRPr="009301DF" w:rsidRDefault="005F6F63" w:rsidP="00D66098">
      <w:pPr>
        <w:pStyle w:val="Teksttreci0"/>
        <w:framePr w:w="9518" w:h="14836" w:hRule="exact" w:wrap="none" w:vAnchor="page" w:hAnchor="page" w:x="1475" w:y="766"/>
      </w:pPr>
      <w:r w:rsidRPr="009301DF">
        <w:t>Zakład powinien ocenić te informacje w celu ustalenia, czy wsparcie naukowe lub techniczne jest wystarczająco związane z procesem, produktem i zagrożeniem zidentyfikowanym w analizie zagrożeń. Wsparcie naukowe lub techniczne powinno być kompletne i dostępne do przeglądu przez FSIS, aby personel FSIS mógł również ustalić, czy wsparcie jest wystarczająco związane z rzeczywistym procesem. Niepodjęcie tych kroków może budzić wątpliwości co do tego, czy system HACCP został odpowiednio zaprojektowany i zatwierdzony.</w:t>
      </w:r>
    </w:p>
    <w:p w14:paraId="5C86BE82" w14:textId="77777777" w:rsidR="00632C48" w:rsidRPr="009301DF" w:rsidRDefault="005F6F63" w:rsidP="00D66098">
      <w:pPr>
        <w:pStyle w:val="Teksttreci20"/>
        <w:framePr w:w="9518" w:h="14836" w:hRule="exact" w:wrap="none" w:vAnchor="page" w:hAnchor="page" w:x="1475" w:y="766"/>
      </w:pPr>
      <w:r w:rsidRPr="009301DF">
        <w:t>W jaki sposób zakład może zidentyfikować wsparcie naukowe, które odpowiednio odnosi się do oczekiwanego poziomu redukcji lub zapobiegania zagrożeniom biologicznym?</w:t>
      </w:r>
    </w:p>
    <w:p w14:paraId="38476ED9" w14:textId="77777777" w:rsidR="00632C48" w:rsidRPr="009301DF" w:rsidRDefault="005F6F63" w:rsidP="00D66098">
      <w:pPr>
        <w:pStyle w:val="Teksttreci0"/>
        <w:framePr w:w="9518" w:h="14836" w:hRule="exact" w:wrap="none" w:vAnchor="page" w:hAnchor="page" w:x="1475" w:y="766"/>
      </w:pPr>
      <w:r w:rsidRPr="009301DF">
        <w:t>Rodzaj wsparcia naukowego (np. opublikowane wytyczne dotyczące przetwarzania, recenzja naukowa danych lub informacji, wyniki programu modelowania patogenów) oraz rodzaj danych lub informacji zawartych we wsparciu będą się różnić w zależności od produktu, zagrożeń biologicznych zidentyfikowanych w analizie zagrożeń oraz strategii interwencyjnej, którą zakład opracowuje w celu zmniejszenia, wyeliminowania lub zapobiegania zagrożeniom. Poniżej przedstawiono niektóre z tych rozważań dotyczących identyfikacji wsparcia naukowego dla strategii interwencyjnych stosowanych w celu przeciwdziałania zagrożeniom w produktach gotowych do spożycia (</w:t>
      </w:r>
      <w:r w:rsidRPr="009301DF">
        <w:rPr>
          <w:i/>
          <w:iCs/>
        </w:rPr>
        <w:t>Ready-to-Eat - RTE</w:t>
      </w:r>
      <w:r w:rsidRPr="009301DF">
        <w:t>) oraz surowych.</w:t>
      </w:r>
    </w:p>
    <w:p w14:paraId="27744AB5" w14:textId="77777777" w:rsidR="00632C48" w:rsidRPr="009301DF" w:rsidRDefault="005F6F63" w:rsidP="00D66098">
      <w:pPr>
        <w:pStyle w:val="Teksttreci0"/>
        <w:framePr w:w="9518" w:h="14836" w:hRule="exact" w:wrap="none" w:vAnchor="page" w:hAnchor="page" w:x="1475" w:y="766"/>
      </w:pPr>
      <w:r w:rsidRPr="009301DF">
        <w:rPr>
          <w:b/>
          <w:i/>
        </w:rPr>
        <w:t>Wsparcie naukowe dla produktów gotowych do spożycia (produktów RTE)</w:t>
      </w:r>
    </w:p>
    <w:p w14:paraId="3362CD5C" w14:textId="77777777" w:rsidR="00632C48" w:rsidRPr="009301DF" w:rsidRDefault="005F6F63" w:rsidP="00D66098">
      <w:pPr>
        <w:pStyle w:val="Teksttreci0"/>
        <w:framePr w:w="9518" w:h="14836" w:hRule="exact" w:wrap="none" w:vAnchor="page" w:hAnchor="page" w:x="1475" w:y="766"/>
        <w:spacing w:after="0"/>
      </w:pPr>
      <w:r w:rsidRPr="009301DF">
        <w:t>Zakłady produkujące produkty mięsne lub drobiowe RTE muszą wykazać, że zgodnie z 9 CFR 417.2(a)(1) w procesie produkcji uwzględniono potencjalne zagrożenia. Reguła Listeria (9 CFR 430.1) definiuje produkty RTE jako produkty mięsne lub drobiowe, które są jadalne bez dodatkowego przygotowania w sposób zapewniający bezpieczeństwo żywności. Aby potwierdzić, że produkty są RTE, zakłady muszą między innymi osiągnąć określoną śmiertelność patogenów w produkcie. Aby wesprzeć decyzje w analizie zagrożeń związane ze śmiertelnością patogenów w produktach RTE, zakłady muszą zapewnić wsparcie naukowe, które określa oczekiwany poziom redukcji patogenów osiągnięty dzięki strategii działań interwencyjnych dla wytwarzanego produktu. Na przykład zakłady produkujące półsuche produkty fermentowane RTE muszą przedstawić naukowe dowody na to, że etapy fermentacji i suszenia umożliwiają osiągnięcie określonego poziomu redukcji patogenów. W dokumencie</w:t>
      </w:r>
      <w:hyperlink r:id="rId30" w:history="1">
        <w:r w:rsidRPr="009301DF">
          <w:t xml:space="preserve"> </w:t>
        </w:r>
        <w:r w:rsidRPr="009301DF">
          <w:rPr>
            <w:i/>
            <w:color w:val="0000FF"/>
            <w:u w:val="single"/>
          </w:rPr>
          <w:t>Wytyczne dotyczące zgodności z przepisami</w:t>
        </w:r>
      </w:hyperlink>
    </w:p>
    <w:p w14:paraId="706D0076"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20B797FE" w14:textId="77777777" w:rsidR="00632C48" w:rsidRPr="009301DF" w:rsidRDefault="00632C48">
      <w:pPr>
        <w:spacing w:line="1" w:lineRule="exact"/>
      </w:pPr>
    </w:p>
    <w:p w14:paraId="3E4EBF1E" w14:textId="77777777" w:rsidR="00632C48" w:rsidRPr="009301DF" w:rsidRDefault="005F6F63" w:rsidP="00D66098">
      <w:pPr>
        <w:pStyle w:val="Teksttreci0"/>
        <w:framePr w:w="9461" w:h="2259" w:hRule="exact" w:wrap="none" w:vAnchor="page" w:hAnchor="page" w:x="1503" w:y="856"/>
        <w:spacing w:after="0"/>
      </w:pPr>
      <w:hyperlink r:id="rId31" w:history="1">
        <w:r w:rsidRPr="009301DF">
          <w:rPr>
            <w:i/>
            <w:color w:val="0000FF"/>
            <w:u w:val="single"/>
          </w:rPr>
          <w:t>w zakresie bakterii salmonelli dla małych i bardzo małych zakładów mięsnych i drobiarskich wytwarzających produkty gotowe do spożycia (RTE) (Guidelines for Small and Very Small Meat and Poultry Establishments that Produce</w:t>
        </w:r>
      </w:hyperlink>
      <w:r w:rsidRPr="009301DF">
        <w:rPr>
          <w:i/>
          <w:color w:val="0000FF"/>
          <w:u w:val="single"/>
        </w:rPr>
        <w:t xml:space="preserve"> </w:t>
      </w:r>
      <w:hyperlink r:id="rId32" w:history="1">
        <w:r w:rsidRPr="009301DF">
          <w:rPr>
            <w:i/>
            <w:color w:val="0000FF"/>
            <w:u w:val="single"/>
          </w:rPr>
          <w:t>Ready-to-Eat (RTE) Products),</w:t>
        </w:r>
      </w:hyperlink>
      <w:r w:rsidRPr="009301DF">
        <w:rPr>
          <w:color w:val="0000FF"/>
        </w:rPr>
        <w:t xml:space="preserve"> </w:t>
      </w:r>
      <w:r w:rsidRPr="009301DF">
        <w:t>FSIS zaleca, aby procesy te osiągnęły co najmniej 5,0log</w:t>
      </w:r>
      <w:r w:rsidRPr="009301DF">
        <w:rPr>
          <w:vertAlign w:val="subscript"/>
        </w:rPr>
        <w:t>10</w:t>
      </w:r>
      <w:r w:rsidRPr="009301DF">
        <w:t xml:space="preserve"> redukcji  bakterii </w:t>
      </w:r>
      <w:r w:rsidRPr="009301DF">
        <w:rPr>
          <w:i/>
          <w:iCs/>
        </w:rPr>
        <w:t>Salmonella spp</w:t>
      </w:r>
      <w:r w:rsidRPr="009301DF">
        <w:t>. Bez danych wykazujących osiągnięcie określonej redukcji log, zakładowi trudno byłoby udowodnić, że produkt jest RTE.</w:t>
      </w:r>
    </w:p>
    <w:p w14:paraId="6E06C58D" w14:textId="2C1751AB" w:rsidR="00632C48" w:rsidRPr="009301DF" w:rsidRDefault="005F6F63" w:rsidP="00D66098">
      <w:pPr>
        <w:pStyle w:val="Teksttreci0"/>
        <w:framePr w:w="9461" w:h="7284" w:hRule="exact" w:wrap="none" w:vAnchor="page" w:hAnchor="page" w:x="1503" w:y="7501"/>
        <w:spacing w:after="0"/>
      </w:pPr>
      <w:r w:rsidRPr="009301DF">
        <w:t>Wsparcie naukowe dla produktów RTE powinno być wystarczająco powiązane z procesem, produktem i zagrożeniem zidentyfikowanym w analizie zagrożeń. W przypadku obróbki termicznej (tj. gotowania) zakłady mogą wykorzystać wsparcie naukowe, które wykazuje redukcję jednego patogenu, aby potwierdzić, że inny patogen również zostanie zredukowany. Na przykład, chociaż zakłady mogą zidentyfikować kilka zagrożeń biologicznych (tj</w:t>
      </w:r>
      <w:r w:rsidR="000B6ED1">
        <w:t>.</w:t>
      </w:r>
      <w:r w:rsidRPr="009301DF">
        <w:t xml:space="preserve"> Salmonella, Listeria monocytogenes (Lm) i E. coli O157:H7), które są zwalczane za pomocą zabiegu prowadzącego do ich zabicia, Salmonella jest ogólnie uważana za organizm referencyjny pod względem śmiertelności dla większości produktów mięsnych i drobiowych RTE, ponieważ: (1) jest powszechna w surowym drobiu, wołowinie i wieprzowinie; (2) powoduje wysokie prawdopodobieństwo zachorowania na choroby przenoszone przez żywność; oraz (3) choroby przenoszone przez żywność związane z Salmonellą są niebezpieczne </w:t>
      </w:r>
      <w:hyperlink r:id="rId33" w:history="1">
        <w:r w:rsidRPr="009301DF">
          <w:t>(</w:t>
        </w:r>
        <w:r w:rsidRPr="009301DF">
          <w:rPr>
            <w:color w:val="0000FF"/>
            <w:u w:val="single"/>
          </w:rPr>
          <w:t>66 FR 12593</w:t>
        </w:r>
        <w:r w:rsidRPr="009301DF">
          <w:t>)</w:t>
        </w:r>
      </w:hyperlink>
      <w:r w:rsidRPr="009301DF">
        <w:t>. Ponadto FSIS zaleca zakładom stosowanie salmonelli jako wskaźnika śmiertelności, ponieważ jest ona bardziej odporna na ciepło niż inne patogeny. W związku z tym, jeśli zakład naukowo wykaże, że jego działania zabijające prowadzą do wystarczającej redukcji bakterii salmonelli, nie musi dostarczać dodatkowego wsparcia, że osiągnięto odpowiednią redukcję innych patogenów, takich jak Lm lub E. coli O157:H7. Z tych powodów zakłady nie powinny wykorzystywać patogenów innych niż Salmonella jako wskaźników śmiertelności, chyba że mogą udowodnić, że badany patogen wykazuje podobną odporność na proces niszczący bakterie (np. ciepło, kwas lub suszenie). Dla przykładu, zakłady nie powinny wykorzystywać wsparcia naukowego wykazującego redukcję Lm w wyniku działań zabijających w celu potwierdzenia, że podobna redukcja Salmonelli zostałaby osiągnięta bez udowodnienia, że Lm jest co najmniej tak samo odporna jak Salmonella w badanych warunkach. Można stosować niepatogenne</w:t>
      </w:r>
      <w:hyperlink w:anchor="bookmark20" w:tooltip="Current Document">
        <w:r w:rsidRPr="009301DF">
          <w:t xml:space="preserve"> </w:t>
        </w:r>
        <w:r w:rsidRPr="009301DF">
          <w:rPr>
            <w:color w:val="0000FF"/>
            <w:u w:val="single"/>
          </w:rPr>
          <w:t>organizmy wskaźnikowe (bioindykatory)</w:t>
        </w:r>
        <w:r w:rsidRPr="009301DF">
          <w:rPr>
            <w:color w:val="0000FF"/>
          </w:rPr>
          <w:t xml:space="preserve"> </w:t>
        </w:r>
      </w:hyperlink>
      <w:r w:rsidRPr="009301DF">
        <w:t>, które zostaną omówione w dalszej części.</w:t>
      </w:r>
    </w:p>
    <w:p w14:paraId="14D5A265" w14:textId="77777777" w:rsidR="00632C48" w:rsidRPr="009301DF" w:rsidRDefault="005F6F63" w:rsidP="003F700F">
      <w:pPr>
        <w:pStyle w:val="Podpisobrazu0"/>
        <w:framePr w:w="8123" w:h="3773" w:hRule="exact" w:wrap="none" w:vAnchor="page" w:hAnchor="page" w:x="1993" w:y="3447"/>
        <w:shd w:val="clear" w:color="auto" w:fill="E9F0F8"/>
      </w:pPr>
      <w:r w:rsidRPr="009301DF">
        <w:rPr>
          <w:b/>
        </w:rPr>
        <w:t>KLUCZOWE PYTANIE</w:t>
      </w:r>
    </w:p>
    <w:p w14:paraId="62C3AD05" w14:textId="77777777" w:rsidR="00632C48" w:rsidRPr="009301DF" w:rsidRDefault="005F6F63" w:rsidP="003F700F">
      <w:pPr>
        <w:pStyle w:val="Podpisobrazu0"/>
        <w:framePr w:w="8123" w:h="3773" w:hRule="exact" w:wrap="none" w:vAnchor="page" w:hAnchor="page" w:x="1993" w:y="3447"/>
        <w:shd w:val="clear" w:color="auto" w:fill="E9F0F8"/>
      </w:pPr>
      <w:r w:rsidRPr="009301DF">
        <w:t>Pytanie: Czy zakład może stosować Dodatek A, który został opracowany w celu zwalczania Salmonelli, aby wspierać zwalczanie innych patogenów, takich jak E. coli O157:H7 lub Listeria monocytogenes?</w:t>
      </w:r>
    </w:p>
    <w:p w14:paraId="07D178BA" w14:textId="77777777" w:rsidR="00632C48" w:rsidRPr="009301DF" w:rsidRDefault="005F6F63" w:rsidP="003F700F">
      <w:pPr>
        <w:pStyle w:val="Podpisobrazu0"/>
        <w:framePr w:w="8123" w:h="3773" w:hRule="exact" w:wrap="none" w:vAnchor="page" w:hAnchor="page" w:x="1993" w:y="3447"/>
        <w:shd w:val="clear" w:color="auto" w:fill="E9F0F8"/>
        <w:spacing w:after="0"/>
      </w:pPr>
      <w:r w:rsidRPr="009301DF">
        <w:t>Odpowiedź: Tak, zakład może powołać się na Dodatek A jako wsparcie, że E. coli O157:H7 i Listeria monocytogenes są kontrolowane w wyniku procesu termicznego.</w:t>
      </w:r>
      <w:r w:rsidRPr="009301DF">
        <w:br/>
        <w:t xml:space="preserve"> Chociaż Dodatek A został opracowany na podstawie eksperymentów mierzących skuteczność procesów związanych ze śmiertelnością Salmonelli, Salmonella może być wykorzystywana jako wskaźnik śmiertelności dla innych patogenów, takich jak E. coli O157:H7 i Listeria monocytogenes.</w:t>
      </w:r>
    </w:p>
    <w:p w14:paraId="0A113E3B"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7" behindDoc="1" locked="0" layoutInCell="1" allowOverlap="1" wp14:anchorId="0842510D" wp14:editId="732C0F86">
            <wp:simplePos x="0" y="0"/>
            <wp:positionH relativeFrom="page">
              <wp:posOffset>1085215</wp:posOffset>
            </wp:positionH>
            <wp:positionV relativeFrom="page">
              <wp:posOffset>2044700</wp:posOffset>
            </wp:positionV>
            <wp:extent cx="5788025" cy="2703830"/>
            <wp:effectExtent l="0" t="0" r="0" b="0"/>
            <wp:wrapNone/>
            <wp:docPr id="15" name="Shape 15"/>
            <wp:cNvGraphicFramePr/>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34"/>
                    <a:stretch/>
                  </pic:blipFill>
                  <pic:spPr>
                    <a:xfrm>
                      <a:off x="0" y="0"/>
                      <a:ext cx="5788025" cy="2703830"/>
                    </a:xfrm>
                    <a:prstGeom prst="rect">
                      <a:avLst/>
                    </a:prstGeom>
                  </pic:spPr>
                </pic:pic>
              </a:graphicData>
            </a:graphic>
          </wp:anchor>
        </w:drawing>
      </w:r>
    </w:p>
    <w:p w14:paraId="528D1BEC" w14:textId="77777777" w:rsidR="00632C48" w:rsidRPr="009301DF" w:rsidRDefault="00632C48">
      <w:pPr>
        <w:spacing w:line="1" w:lineRule="exact"/>
      </w:pPr>
    </w:p>
    <w:p w14:paraId="0A75194F" w14:textId="77777777" w:rsidR="00632C48" w:rsidRPr="009301DF" w:rsidRDefault="005F6F63" w:rsidP="00D66098">
      <w:pPr>
        <w:pStyle w:val="Teksttreci0"/>
        <w:framePr w:w="9451" w:h="14514" w:hRule="exact" w:wrap="none" w:vAnchor="page" w:hAnchor="page" w:x="1508" w:y="751"/>
      </w:pPr>
      <w:r w:rsidRPr="009301DF">
        <w:rPr>
          <w:b/>
          <w:i/>
        </w:rPr>
        <w:t>Wsparcie naukowe dla produktów nieprzetworzonych</w:t>
      </w:r>
    </w:p>
    <w:p w14:paraId="4958A6BE" w14:textId="77777777" w:rsidR="00632C48" w:rsidRPr="009301DF" w:rsidRDefault="005F6F63" w:rsidP="00D66098">
      <w:pPr>
        <w:pStyle w:val="Teksttreci0"/>
        <w:framePr w:w="9451" w:h="14514" w:hRule="exact" w:wrap="none" w:vAnchor="page" w:hAnchor="page" w:x="1508" w:y="751"/>
      </w:pPr>
      <w:r w:rsidRPr="009301DF">
        <w:t>Zgodnie z 9 CFR 417.2(a)(1) zakłady produkujące surowe mięso lub produkty drobiowe muszą wykazać, że potencjalne zagrożenia zostały w procesie produkcji wyeliminowane. W przypadku produkcji surowych produktów wsparcie naukowe powinno zawierać dane mikrobiologiczne określające oczekiwany poziom kontroli patogenów lub zapobiegania im osiągnięty dzięki strategii interwencyjnej, tak aby zakład mógł określić, czy działania interwencyjne są odpowiednie dla jego produktu i procesu. Korzystanie z dokumentacji, która nie zawiera danych mikrobiologicznych dotyczących osiągniętego poziomu redukcji, może stanowić lukę w projekcie systemu HACCP zakładu. Na przykład, zakład, który identyfikuje salmonellę jako zagrożenie, którego wystąpienie jest racjonalnie prawdopodobne w procesie uboju drobiu, ponieważ występowała ona w przeszłości, miałby słaby punkt w swoim procesie, gdyby opierał się na wsparciu naukowym zawierającym liczbę próbek, które dały wynik pozytywny na obecność salmonelli przed i po zastosowaniu działania interwencyjnego. Korzystanie z tego typu danych stanowiłoby słaby punkt, ponieważ nie dostarczałoby informacji na temat osiągniętego zmniejszenia logarytmicznego (log). Bez tych informacji zakład nie byłby w stanie określić, czy działania interwencyjne zmniejszyłyby liczbę Salmonelli w procesie do akceptowalnych poziomów.</w:t>
      </w:r>
    </w:p>
    <w:p w14:paraId="6901A5F5" w14:textId="77777777" w:rsidR="00632C48" w:rsidRPr="009301DF" w:rsidRDefault="005F6F63" w:rsidP="00D66098">
      <w:pPr>
        <w:pStyle w:val="Teksttreci0"/>
        <w:framePr w:w="9451" w:h="14514" w:hRule="exact" w:wrap="none" w:vAnchor="page" w:hAnchor="page" w:x="1508" w:y="751"/>
      </w:pPr>
      <w:r w:rsidRPr="009301DF">
        <w:t>Wsparcie naukowe dla surowego mięsa i produktów drobiowych powinno być również wystarczająco powiązane z procesem, produktem i zagrożeniem zidentyfikowanym w analizie zagrożeń. Szczególnie ważne jest, aby wsparcie naukowe dla strategii działań interwencyjnych stosowanych w produkcji surowych produktów obejmowało dane mikrobiologiczne, które określają oczekiwany poziom redukcji patogenów dla tego samego zagrożenia zidentyfikowanego w analizie zagrożeń. Na przykład w zakładach ubojowych stwierdzono, że działania interwencyjne, takie jak stosowanie kwasu mlekowego i kwasu nadoctowego (</w:t>
      </w:r>
      <w:r w:rsidRPr="009301DF">
        <w:rPr>
          <w:i/>
          <w:iCs/>
        </w:rPr>
        <w:t>peroxyacetic acid - PAA</w:t>
      </w:r>
      <w:r w:rsidRPr="009301DF">
        <w:t>), mają różną skuteczność w przypadku różnych patogenów (np. Salmonella i E. coli O157:H7) i różnych gatunków mięsa (np. drób vs. wołowina). Dlatego ważne jest, aby zakład zajmujący się ubojem wołowiny, który odnosi się do działania interwencyjnego kwasu mlekowego stosowanego do tusz wołowych jako kontroli E. coli O157:H7 w swojej analizie zagrożeń podczas uboju i opatrunku, dostarczył dowodów na to, że określony poziom redukcji logarytmicznej (log) w E. coli O157:H7 został osiągnięty, gdy do tusz wołowych zastosowano kwas mlekowy. Jednym z wyjątków, w których wsparcie naukowe może nie być konieczne w odniesieniu do konkretnego patogenu wymienionego w analizie zagrożeń dla produktów surowych, są strategie interwencyjne mające na celu kontrolę lub zapobieganie występowaniu pałeczek okrężnicy (</w:t>
      </w:r>
      <w:r w:rsidRPr="009301DF">
        <w:rPr>
          <w:i/>
          <w:iCs/>
        </w:rPr>
        <w:t>Escherichia coli</w:t>
      </w:r>
      <w:r w:rsidRPr="009301DF">
        <w:t xml:space="preserve">) wytwarzających toksynę Shiga (STEC) inną niż O157 (STEC). </w:t>
      </w:r>
      <w:r w:rsidRPr="009301DF">
        <w:rPr>
          <w:b/>
          <w:bCs/>
        </w:rPr>
        <w:t>W chwili obecnej</w:t>
      </w:r>
      <w:r w:rsidRPr="009301DF">
        <w:t xml:space="preserve"> FSIS nie jest świadomy żadnych kontroli specyficznych dla STEC innych niż O157. Działania interwencyjne zatwierdzone do zwalczania E. coli O157:H7 powinny być skuteczne w zwalczaniu szczepów E. coli wytwarzający werotoksynę (STEC) innych niż O157, jeśli zostaną prawidłowo wdrożone zgodnie z opisem zawartym we wsparciu naukowym zakładu.</w:t>
      </w:r>
    </w:p>
    <w:p w14:paraId="7F488729" w14:textId="77777777" w:rsidR="00632C48" w:rsidRPr="009301DF" w:rsidRDefault="005F6F63" w:rsidP="00D66098">
      <w:pPr>
        <w:pStyle w:val="Teksttreci20"/>
        <w:framePr w:w="9451" w:h="14514" w:hRule="exact" w:wrap="none" w:vAnchor="page" w:hAnchor="page" w:x="1508" w:y="751"/>
      </w:pPr>
      <w:bookmarkStart w:id="10" w:name="bookmark20"/>
      <w:r w:rsidRPr="009301DF">
        <w:t>Czy zakłady mogą korzystać z pomocy naukowej zawierającej dane mikrobiologiczne z organizmów wskaźnikowych lub zastępczych?</w:t>
      </w:r>
      <w:bookmarkEnd w:id="10"/>
    </w:p>
    <w:p w14:paraId="1C7623F6" w14:textId="789E712F" w:rsidR="00632C48" w:rsidRPr="009301DF" w:rsidRDefault="005F6F63" w:rsidP="00D66098">
      <w:pPr>
        <w:pStyle w:val="Teksttreci0"/>
        <w:framePr w:w="9451" w:h="14514" w:hRule="exact" w:wrap="none" w:vAnchor="page" w:hAnchor="page" w:x="1508" w:y="751"/>
        <w:spacing w:after="0"/>
      </w:pPr>
      <w:r w:rsidRPr="009301DF">
        <w:t>Ogólnie rzecz biorąc, zakłady nie powinny polegać na wsparciu naukowym zawierającym dane wyłącznie z organizmów wskaźnikowych lub zastępczych, chyba że istnieją wystarczające dane do ustalenia związku między obecnością lub poziomem patogenu lub toksyny a organizmem wskaźnikowym. Przy wyborze odpowiedniego organizmu zastępczego,</w:t>
      </w:r>
      <w:r w:rsidR="008855E1" w:rsidRPr="008855E1">
        <w:t xml:space="preserve"> </w:t>
      </w:r>
      <w:r w:rsidR="008855E1" w:rsidRPr="009301DF">
        <w:t>zakład powinien wziąć pod uwagę proces, który niszczy</w:t>
      </w:r>
    </w:p>
    <w:p w14:paraId="7B4E55C7"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073DA317" w14:textId="77777777" w:rsidR="00632C48" w:rsidRPr="009301DF" w:rsidRDefault="00632C48">
      <w:pPr>
        <w:spacing w:line="1" w:lineRule="exact"/>
      </w:pPr>
    </w:p>
    <w:p w14:paraId="62A65D21" w14:textId="56F2B6B0" w:rsidR="00632C48" w:rsidRPr="009301DF" w:rsidRDefault="005F6F63" w:rsidP="00D66098">
      <w:pPr>
        <w:pStyle w:val="Teksttreci0"/>
        <w:framePr w:w="9504" w:h="14716" w:hRule="exact" w:wrap="none" w:vAnchor="page" w:hAnchor="page" w:x="1482" w:y="984"/>
      </w:pPr>
      <w:r w:rsidRPr="009301DF">
        <w:t>bakterie (np. ciepło, kwas, suszenie). Na przykład, organizm zastępczy, który jest co najmniej tak odporny na ciepło, jak patogen będący przedmiotem zainteresowania, powinien być stosowany, jeśli proces opiera się głównie na niszczeniu termicznym (tj. ciepło). Jeśli głównym mechanizmem redukcji patogenów jest fermentacja, wówczas organizm zastępczy powinien być co najmniej tak odporny na kwasy, jak patogen. Surogat wybrany w każdej z tych sytuacji może nie być tym samym surogatem.</w:t>
      </w:r>
    </w:p>
    <w:p w14:paraId="234FA889" w14:textId="77777777" w:rsidR="00632C48" w:rsidRPr="009301DF" w:rsidRDefault="005F6F63" w:rsidP="00D66098">
      <w:pPr>
        <w:pStyle w:val="Teksttreci0"/>
        <w:framePr w:w="9504" w:h="14716" w:hRule="exact" w:wrap="none" w:vAnchor="page" w:hAnchor="page" w:x="1482" w:y="984"/>
      </w:pPr>
      <w:r w:rsidRPr="009301DF">
        <w:t>Dane wykazujące związek między obecnością lub poziomem patogenu lub toksyny a organizmem wskaźnikowym można zebrać na podstawie badań wykorzystujących organizmy wskaźnikowe, które są równoległe do danych z badania kwestionującego przeprowadzonego z zaszczepionym patogenem. Dane te można zebrać, przeprowadzając badanie ze wskaźnikiem i patogenem w ramach jednego badania lub oddzielnie w dwóch badaniach przeprowadzonych w podobnych warunkach. Jeśli można założyć podobną i spójną redukcję lub kontrolę, wówczas kontrola organizmów wskaźnikowych może być wiarygodnie wykorzystana do wskazania oczekiwanej kontroli patogenu w rzeczywistym zastosowaniu.</w:t>
      </w:r>
    </w:p>
    <w:p w14:paraId="420158AD" w14:textId="38576497" w:rsidR="00632C48" w:rsidRPr="009301DF" w:rsidRDefault="005F6F63" w:rsidP="00D66098">
      <w:pPr>
        <w:pStyle w:val="Teksttreci0"/>
        <w:framePr w:w="9504" w:h="14716" w:hRule="exact" w:wrap="none" w:vAnchor="page" w:hAnchor="page" w:x="1482" w:y="984"/>
        <w:spacing w:after="300"/>
      </w:pPr>
      <w:r w:rsidRPr="009301DF">
        <w:t xml:space="preserve">Przykładem sytuacji, w której stwierdzono podobną i konsekwentną redukcję organizmu wskaźnikowego lub zastępczego i patogenu, są badania przeprowadzone przez Uniwersytet w Wisconsin na mielonym i formowanym suszonym mięsie, które wykazały, że dwa szczepy gram-dodatnich bakterii kwasu mlekowego </w:t>
      </w:r>
      <w:r w:rsidRPr="009301DF">
        <w:rPr>
          <w:i/>
          <w:iCs/>
        </w:rPr>
        <w:t>Pediococcus</w:t>
      </w:r>
      <w:r w:rsidRPr="009301DF">
        <w:t xml:space="preserve"> (Saga 200 i Biosource) mają podobną odporność termiczną co Salmonella i mogą być wykorzystane w badaniach walidacyjnych (Borowski i in., 2009) procesów związanych ze śmiertelnością dla suszonego mięsa. Ponadto, FSIS zidentyfikował cztery organizmy zastępcze, które wykazały podobną reakcję co E. coli O157:H7 podczas gotowania (więcej informacji znajduje się pod linkiem </w:t>
      </w:r>
      <w:hyperlink r:id="rId35" w:history="1">
        <w:r w:rsidRPr="009301DF">
          <w:t xml:space="preserve"> </w:t>
        </w:r>
        <w:r w:rsidRPr="009301DF">
          <w:rPr>
            <w:color w:val="0000FF"/>
            <w:u w:val="single"/>
          </w:rPr>
          <w:t>askFSIS Q&amp;A</w:t>
        </w:r>
      </w:hyperlink>
      <w:hyperlink w:anchor="bookmark21" w:tooltip="Current Document">
        <w:r w:rsidRPr="009301DF">
          <w:rPr>
            <w:vertAlign w:val="superscript"/>
          </w:rPr>
          <w:t>1</w:t>
        </w:r>
      </w:hyperlink>
      <w:r w:rsidRPr="009301DF">
        <w:t xml:space="preserve">) i mogą być wykorzystane w badaniach walidacyjnych mających na celu wykazanie redukcji E. coli O157:H7. </w:t>
      </w:r>
      <w:r w:rsidRPr="009301DF">
        <w:rPr>
          <w:b/>
          <w:bCs/>
        </w:rPr>
        <w:t>W chwili obecnej</w:t>
      </w:r>
      <w:r w:rsidRPr="009301DF">
        <w:t xml:space="preserve"> FSIS nie jest jednak świadoma istnienia dokumentacji potwierdzającej silną korelację na poparcie stosowania ogólnych testów na obecność E. coli zamiast testów na obecność E. coli O157:H7 lub STEC innych niż O157.</w:t>
      </w:r>
    </w:p>
    <w:p w14:paraId="48B3B492" w14:textId="77777777" w:rsidR="00632C48" w:rsidRPr="009301DF" w:rsidRDefault="005F6F63" w:rsidP="00D66098">
      <w:pPr>
        <w:pStyle w:val="Teksttreci20"/>
        <w:framePr w:w="9504" w:h="14716" w:hRule="exact" w:wrap="none" w:vAnchor="page" w:hAnchor="page" w:x="1482" w:y="984"/>
      </w:pPr>
      <w:r w:rsidRPr="009301DF">
        <w:t>W jaki sposób zakład może zidentyfikować wsparcie naukowe lub techniczne, które odpowiednio odnosi się do oczekiwanego poziomu redukcji zagrożeń lub zapobiegania zagrożeniom fizycznym i chemicznym?</w:t>
      </w:r>
    </w:p>
    <w:p w14:paraId="31232912" w14:textId="373F0D3D" w:rsidR="00632C48" w:rsidRPr="009301DF" w:rsidRDefault="005F6F63" w:rsidP="00D66098">
      <w:pPr>
        <w:pStyle w:val="Teksttreci0"/>
        <w:framePr w:w="9504" w:h="14716" w:hRule="exact" w:wrap="none" w:vAnchor="page" w:hAnchor="page" w:x="1482" w:y="984"/>
        <w:spacing w:after="60" w:line="293" w:lineRule="auto"/>
        <w:rPr>
          <w:sz w:val="13"/>
          <w:szCs w:val="13"/>
        </w:rPr>
      </w:pPr>
      <w:r w:rsidRPr="009301DF">
        <w:t>W przypadku zagrożeń fizycznych i chemicznych zakłady często wykorzystują wsparcie techniczne, aby wykazać, że określone środki kontroli procesu mogą w sposób odpowiedni przeciwdziałać określonym zagrożeniom. Podobnie jak w przypadku zagrożeń biologicznych, wsparcie naukowe lub techniczne powinno ściśle odpowiadać produktowi, procesowi i zagrożeniu. Na przykład, jeśli zakład używa sprzętu do wykrywania obcych materiałów, takich jak metal, w określonym produkcie, powinien mieć w aktach wsparcie techniczne, które wykazuje, że sprzęt może faktycznie wykrywać docelowe materiały (np. metal o określonym rozmiarze i rodzaju) w tym produkcie. To samo dotyczy zagrożeń chemicznych. Przykładowo, zakład stosujący działania interwencyjne z użyciem kwasu mlekowego podczas procesu uboju wołowiny może zidentyfikować zagrożenie chemiczne wynikające</w:t>
      </w:r>
      <w:r w:rsidR="008855E1">
        <w:t xml:space="preserve"> </w:t>
      </w:r>
      <w:r w:rsidR="008855E1" w:rsidRPr="009301DF">
        <w:t>z zastosowania nadmiernego</w:t>
      </w:r>
    </w:p>
    <w:p w14:paraId="2CEB5DD3" w14:textId="77777777" w:rsidR="00632C48" w:rsidRPr="009301DF" w:rsidRDefault="00632C48" w:rsidP="00D66098">
      <w:pPr>
        <w:pStyle w:val="Teksttreci30"/>
        <w:framePr w:w="9504" w:h="14716" w:hRule="exact" w:wrap="none" w:vAnchor="page" w:hAnchor="page" w:x="1482" w:y="984"/>
        <w:spacing w:after="0"/>
      </w:pPr>
      <w:hyperlink r:id="rId36" w:history="1">
        <w:bookmarkStart w:id="11" w:name="bookmark21"/>
      </w:hyperlink>
      <w:r w:rsidR="005F6F63" w:rsidRPr="009301DF">
        <w:rPr>
          <w:vertAlign w:val="superscript"/>
        </w:rPr>
        <w:t>1</w:t>
      </w:r>
      <w:r w:rsidR="005F6F63" w:rsidRPr="009301DF">
        <w:t xml:space="preserve"> </w:t>
      </w:r>
      <w:hyperlink r:id="rId37" w:history="1">
        <w:r w:rsidR="005F6F63" w:rsidRPr="009301DF">
          <w:t>http://askfsis.custhelp.com/app/answers/detail/a id/1392/kw/surrogate/session/L3RpbWUvMTMyNzUyMT</w:t>
        </w:r>
      </w:hyperlink>
      <w:r w:rsidR="005F6F63" w:rsidRPr="009301DF">
        <w:t xml:space="preserve"> </w:t>
      </w:r>
      <w:hyperlink r:id="rId38" w:history="1">
        <w:r w:rsidR="005F6F63" w:rsidRPr="009301DF">
          <w:t>Y0Ni9zaWQvVFR6c3cyUGs=</w:t>
        </w:r>
        <w:bookmarkEnd w:id="11"/>
      </w:hyperlink>
    </w:p>
    <w:p w14:paraId="5C7B29AA"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7BFA3991" w14:textId="77777777" w:rsidR="00632C48" w:rsidRPr="009301DF" w:rsidRDefault="00632C48">
      <w:pPr>
        <w:spacing w:line="1" w:lineRule="exact"/>
      </w:pPr>
    </w:p>
    <w:p w14:paraId="497F7593" w14:textId="0D73FD2A" w:rsidR="00632C48" w:rsidRPr="009301DF" w:rsidRDefault="005F6F63" w:rsidP="00D66098">
      <w:pPr>
        <w:pStyle w:val="Teksttreci0"/>
        <w:framePr w:w="9509" w:h="15009" w:hRule="exact" w:wrap="none" w:vAnchor="page" w:hAnchor="page" w:x="1479" w:y="646"/>
      </w:pPr>
      <w:r w:rsidRPr="009301DF">
        <w:t>stężenia kwasu mlekowego. Zakład może potwierdzić, że zagrożenie nie jest racjonalnie prawdopodobne w oparciu o instrukcje producenta dotyczące mieszania kwasu mlekowego z wodą w celu osiągnięcia stężenia, które jest bezpieczne i odpowiednie, zgodnie z dyrektywą FSIS 7120.1. W takim przypadku instrukcje producenta lub warunki stosowania są często dostarczane jako wsparcie techniczne, które wykazuje, że stosowanie substancji chemicznej jest kontrolowane.</w:t>
      </w:r>
    </w:p>
    <w:p w14:paraId="39CE52A8" w14:textId="77777777" w:rsidR="00632C48" w:rsidRPr="009301DF" w:rsidRDefault="005F6F63" w:rsidP="00D66098">
      <w:pPr>
        <w:pStyle w:val="Teksttreci20"/>
        <w:framePr w:w="9509" w:h="15009" w:hRule="exact" w:wrap="none" w:vAnchor="page" w:hAnchor="page" w:x="1479" w:y="646"/>
      </w:pPr>
      <w:r w:rsidRPr="009301DF">
        <w:t>W jaki sposób zakład może określić wsparcie naukowe dla programów warunków wstępnych?</w:t>
      </w:r>
    </w:p>
    <w:p w14:paraId="3B45D118" w14:textId="77777777" w:rsidR="00632C48" w:rsidRPr="009301DF" w:rsidRDefault="005F6F63" w:rsidP="00D66098">
      <w:pPr>
        <w:pStyle w:val="Teksttreci0"/>
        <w:framePr w:w="9509" w:h="15009" w:hRule="exact" w:wrap="none" w:vAnchor="page" w:hAnchor="page" w:x="1479" w:y="646"/>
      </w:pPr>
      <w:r w:rsidRPr="009301DF">
        <w:t>Jak omówiono wcześniej na stronie 5, gdy zakład ustali, że wystąpienie zagrożenia nie jest racjonalnie prawdopodobne, ponieważ wdrożenie programu warunków wstępnych zapobiega wystąpieniu zagrożenia, ten program warunków wstępnych staje się częścią systemu HACCP. W związku z tym programy warunków wstępnych opracowane w celu wspierania decyzji podejmowanych w ramach analizy zagrożeń (np. standardowe procedury operacyjne w zakresie warunków sanitarnych, pisemne procedury dotyczące higienicznego oprawiania tusz włączone do programów warunków wstępnych, specyfikacje zakupów, działania interwencyjne w zakresie środków przeciwdrobnoustrojowych) muszą zostać zatwierdzone, aby zapewnić skuteczne działanie całego systemu.</w:t>
      </w:r>
    </w:p>
    <w:p w14:paraId="00736C4D" w14:textId="77777777" w:rsidR="00632C48" w:rsidRPr="009301DF" w:rsidRDefault="005F6F63" w:rsidP="00D66098">
      <w:pPr>
        <w:pStyle w:val="Teksttreci0"/>
        <w:framePr w:w="9509" w:h="15009" w:hRule="exact" w:wrap="none" w:vAnchor="page" w:hAnchor="page" w:x="1479" w:y="646"/>
        <w:spacing w:after="0"/>
      </w:pPr>
      <w:r w:rsidRPr="009301DF">
        <w:t>Chociaż programy warunków wstępnych w ramach systemów HACCP są często projektowane jako wiele czynników kontrolnych, zakłady powinny być w stanie zapewnić wsparcie naukowe lub techniczne powodujące, że pokonanie każdej przeszkody lub kombinacji przeszkód zapewni niezbędny poziom zapobiegania zidentyfikowanym zagrożeniom.</w:t>
      </w:r>
      <w:r w:rsidRPr="009301DF">
        <w:br/>
        <w:t xml:space="preserve"> W przypadku niektórych programów warunków wstępnych, które są wdrażane w odrębnym punkcie lub na odrębnym etapie procesu, takich jak te dotyczące działań interwencyjnych w zakresie środków przeciwdrobnoustrojowych, można zastosować wytyczne przedstawione na poprzednich stronach dotyczące określenia wsparcia naukowego dla oczekiwanego poziomu redukcji niezbędnego do zapobieżenia zagrożeniu. W przypadku stosowania działań interwencyjnych z użyciem środków przeciwdrobnoustrojowych jako programu warunków wstępnych, zakłady powinny zidentyfikować wsparcie naukowe odpowiadające produktowi, procesowi i zagrożeniu oraz zawierające dane mikrobiologiczne określające oczekiwany poziom redukcji patogenów niezbędny do zapobieżenia wystąpieniu zagrożenia. W przypadku innych programów warunków wstępnych, które są wdrażane w wielu punktach lub na wielu etapach procesu, takich jak programy kontroli alergenów lub programy obejmujące pisemne procedury dotyczące higienicznego oprawiania tusz, zakłady mogą polegać na wsparciu naukowym lub technicznym, które zawiera najlepsze praktyki dotyczące wdrażania takich programów. Na przykład Rada ds. Bezpieczeństwa Żywności Przemysłu Wołowego (BIFSCO) opracowała dokument zawierający najlepsze praktyki dotyczące uboju wołowiny </w:t>
      </w:r>
      <w:hyperlink r:id="rId39" w:history="1">
        <w:r w:rsidRPr="009301DF">
          <w:t xml:space="preserve"> </w:t>
        </w:r>
        <w:r w:rsidRPr="009301DF">
          <w:rPr>
            <w:i/>
            <w:color w:val="0000FF"/>
            <w:u w:val="single"/>
          </w:rPr>
          <w:t>(Best</w:t>
        </w:r>
      </w:hyperlink>
      <w:r w:rsidRPr="009301DF">
        <w:rPr>
          <w:i/>
          <w:color w:val="0000FF"/>
          <w:u w:val="single"/>
        </w:rPr>
        <w:t xml:space="preserve"> </w:t>
      </w:r>
      <w:hyperlink r:id="rId40" w:history="1">
        <w:r w:rsidRPr="009301DF">
          <w:rPr>
            <w:i/>
            <w:color w:val="0000FF"/>
            <w:u w:val="single"/>
          </w:rPr>
          <w:t>Practices for Beef Slaughter)</w:t>
        </w:r>
        <w:r w:rsidRPr="009301DF">
          <w:t>.</w:t>
        </w:r>
      </w:hyperlink>
      <w:r w:rsidRPr="009301DF">
        <w:t xml:space="preserve"> FSIS zidentyfikowała, zarówno poprzez przegląd literatury naukowej, jak i wytyczne dotyczące najlepszych praktyk stworzone przez przemysł, punkty w procesie uboju, w których tusze są najbardziej narażone na zanieczyszczenie i uwzględniła te kroki w </w:t>
      </w:r>
      <w:hyperlink r:id="rId41" w:history="1">
        <w:r w:rsidRPr="009301DF">
          <w:t xml:space="preserve"> </w:t>
        </w:r>
        <w:r w:rsidRPr="009301DF">
          <w:rPr>
            <w:i/>
            <w:color w:val="0000FF"/>
            <w:u w:val="single"/>
          </w:rPr>
          <w:t>Dyrektywie FSIS 6410.1 Weryfikacja procedur higienicznego oprawiania tusz oraz kontroli procesu przez personel programu inspekcji w operacjach uboju bydła każdego wieku (FSIS Directive 6410.1 Verifying Sanitary Dressing and Process Control</w:t>
        </w:r>
      </w:hyperlink>
      <w:r w:rsidRPr="009301DF">
        <w:rPr>
          <w:i/>
          <w:color w:val="0000FF"/>
          <w:u w:val="single"/>
        </w:rPr>
        <w:t xml:space="preserve"> </w:t>
      </w:r>
      <w:hyperlink r:id="rId42" w:history="1">
        <w:r w:rsidRPr="009301DF">
          <w:rPr>
            <w:i/>
            <w:color w:val="0000FF"/>
            <w:u w:val="single"/>
          </w:rPr>
          <w:t>Procedures by Off-line Inspection Program Personnel (IPP) in Slaughter Operations of</w:t>
        </w:r>
      </w:hyperlink>
      <w:r w:rsidRPr="009301DF">
        <w:rPr>
          <w:i/>
          <w:color w:val="0000FF"/>
          <w:u w:val="single"/>
        </w:rPr>
        <w:t xml:space="preserve"> </w:t>
      </w:r>
      <w:hyperlink r:id="rId43" w:history="1">
        <w:r w:rsidRPr="009301DF">
          <w:rPr>
            <w:i/>
            <w:color w:val="0000FF"/>
            <w:u w:val="single"/>
          </w:rPr>
          <w:t>Cattle of Any Age)</w:t>
        </w:r>
        <w:r w:rsidRPr="009301DF">
          <w:t>.</w:t>
        </w:r>
      </w:hyperlink>
      <w:r w:rsidRPr="009301DF">
        <w:t xml:space="preserve"> Dokumenty te mogą być wykorzystane jako naukowe potwierdzenie, że program higienicznego oprawiania tusz w zakładzie zapobiega skażeniu zagrożeniami mikrobiologicznymi, takimi jak STEC i zapewnia, że działania interwencyjne stosowane w zakładzie osiągają zamierzony efekt.</w:t>
      </w:r>
    </w:p>
    <w:p w14:paraId="670E6CA2"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2F6A7891" w14:textId="77777777" w:rsidR="00632C48" w:rsidRPr="009301DF" w:rsidRDefault="00632C48">
      <w:pPr>
        <w:spacing w:line="1" w:lineRule="exact"/>
      </w:pPr>
    </w:p>
    <w:p w14:paraId="22A01F54" w14:textId="77777777" w:rsidR="00632C48" w:rsidRPr="009301DF" w:rsidRDefault="005F6F63" w:rsidP="00D66098">
      <w:pPr>
        <w:pStyle w:val="Teksttreci0"/>
        <w:framePr w:w="9490" w:h="4958" w:hRule="exact" w:wrap="none" w:vAnchor="page" w:hAnchor="page" w:x="1489" w:y="834"/>
        <w:spacing w:after="300"/>
      </w:pPr>
      <w:r w:rsidRPr="009301DF">
        <w:t xml:space="preserve">W </w:t>
      </w:r>
      <w:hyperlink w:anchor="bookmark41" w:tooltip="Current Document">
        <w:r w:rsidRPr="009301DF">
          <w:t xml:space="preserve"> </w:t>
        </w:r>
        <w:r w:rsidRPr="009301DF">
          <w:rPr>
            <w:color w:val="0000FF"/>
            <w:u w:val="single"/>
          </w:rPr>
          <w:t>Dodatku 4</w:t>
        </w:r>
        <w:r w:rsidRPr="009301DF">
          <w:rPr>
            <w:color w:val="0000FF"/>
          </w:rPr>
          <w:t xml:space="preserve"> </w:t>
        </w:r>
      </w:hyperlink>
      <w:r w:rsidRPr="009301DF">
        <w:t xml:space="preserve"> na stronie 55 znajduje się przykład wsparcia naukowego i danych z zakładu, które można zebrać w celu walidacji SOP dotyczących warunków sanitarnych, na stronie 56 znajduje się przykład wsparcia naukowego i danych z zakładu, które można zebrać w celu walidacji programu warunków wstępnych kontroli temperatury, a na stronie 57 znajduje się przykład wsparcia naukowego i danych z zakładu, które można zebrać w celu walidacji programu higienicznego oprawiania tusz.</w:t>
      </w:r>
    </w:p>
    <w:p w14:paraId="73DEAC62" w14:textId="77777777" w:rsidR="00632C48" w:rsidRPr="009301DF" w:rsidRDefault="005F6F63" w:rsidP="00D66098">
      <w:pPr>
        <w:pStyle w:val="Teksttreci20"/>
        <w:framePr w:w="9490" w:h="4958" w:hRule="exact" w:wrap="none" w:vAnchor="page" w:hAnchor="page" w:x="1489" w:y="834"/>
      </w:pPr>
      <w:r w:rsidRPr="009301DF">
        <w:t>Jakie są krytyczne parametry operacyjne procesu i w jaki sposób zakład identyfikuje je w swoim wsparciu naukowym?</w:t>
      </w:r>
    </w:p>
    <w:p w14:paraId="408827C2" w14:textId="77777777" w:rsidR="00632C48" w:rsidRPr="009301DF" w:rsidRDefault="005F6F63" w:rsidP="00D66098">
      <w:pPr>
        <w:pStyle w:val="Teksttreci0"/>
        <w:framePr w:w="9490" w:h="4958" w:hRule="exact" w:wrap="none" w:vAnchor="page" w:hAnchor="page" w:x="1489" w:y="834"/>
        <w:spacing w:after="0"/>
      </w:pPr>
      <w:r w:rsidRPr="009301DF">
        <w:t>Krytyczne parametry operacyjne to określone warunki, w których musi przebiegać działanie interwencyjne, aby było ono skuteczne. Aby zakład mógł zatwierdzić działanie interwencyjne, powinien najpierw zidentyfikować krytyczne parametry operacyjne w ramach swojego procesu, które musi wdrożyć i monitorować.</w:t>
      </w:r>
      <w:r w:rsidRPr="009301DF">
        <w:rPr>
          <w:b/>
        </w:rPr>
        <w:t xml:space="preserve"> </w:t>
      </w:r>
      <w:r w:rsidRPr="009301DF">
        <w:t>Te krytyczne parametry operacyjne są identyfikowane w dokumentach zebranych w ramach elementu 1 walidacji i często obejmują, ale nie ograniczają się do:</w:t>
      </w:r>
    </w:p>
    <w:tbl>
      <w:tblPr>
        <w:tblOverlap w:val="never"/>
        <w:tblW w:w="7522" w:type="dxa"/>
        <w:tblLayout w:type="fixed"/>
        <w:tblCellMar>
          <w:left w:w="10" w:type="dxa"/>
          <w:right w:w="10" w:type="dxa"/>
        </w:tblCellMar>
        <w:tblLook w:val="04A0" w:firstRow="1" w:lastRow="0" w:firstColumn="1" w:lastColumn="0" w:noHBand="0" w:noVBand="1"/>
      </w:tblPr>
      <w:tblGrid>
        <w:gridCol w:w="2723"/>
        <w:gridCol w:w="4507"/>
        <w:gridCol w:w="292"/>
      </w:tblGrid>
      <w:tr w:rsidR="00632C48" w:rsidRPr="009301DF" w14:paraId="673ED63A" w14:textId="77777777" w:rsidTr="008855E1">
        <w:trPr>
          <w:trHeight w:hRule="exact" w:val="345"/>
        </w:trPr>
        <w:tc>
          <w:tcPr>
            <w:tcW w:w="2723" w:type="dxa"/>
            <w:shd w:val="clear" w:color="auto" w:fill="auto"/>
          </w:tcPr>
          <w:p w14:paraId="426A1691" w14:textId="77777777" w:rsidR="00632C48" w:rsidRPr="009301DF" w:rsidRDefault="005F6F63" w:rsidP="008855E1">
            <w:pPr>
              <w:pStyle w:val="Inne0"/>
              <w:framePr w:w="7358" w:h="1742" w:wrap="none" w:vAnchor="page" w:hAnchor="page" w:x="2416" w:y="5881"/>
              <w:spacing w:after="0" w:line="276" w:lineRule="auto"/>
            </w:pPr>
            <w:r w:rsidRPr="009301DF">
              <w:rPr>
                <w:sz w:val="22"/>
              </w:rPr>
              <w:t xml:space="preserve">• </w:t>
            </w:r>
            <w:r w:rsidRPr="009301DF">
              <w:t>Czasu</w:t>
            </w:r>
          </w:p>
        </w:tc>
        <w:tc>
          <w:tcPr>
            <w:tcW w:w="4507" w:type="dxa"/>
            <w:shd w:val="clear" w:color="auto" w:fill="auto"/>
          </w:tcPr>
          <w:p w14:paraId="7AF09163" w14:textId="77777777" w:rsidR="00632C48" w:rsidRPr="009301DF" w:rsidRDefault="005F6F63" w:rsidP="008855E1">
            <w:pPr>
              <w:pStyle w:val="Inne0"/>
              <w:framePr w:w="7358" w:h="1742" w:wrap="none" w:vAnchor="page" w:hAnchor="page" w:x="2416" w:y="5881"/>
              <w:spacing w:after="0" w:line="276" w:lineRule="auto"/>
              <w:ind w:firstLine="760"/>
              <w:rPr>
                <w:sz w:val="22"/>
                <w:szCs w:val="22"/>
              </w:rPr>
            </w:pPr>
            <w:r w:rsidRPr="009301DF">
              <w:rPr>
                <w:sz w:val="22"/>
              </w:rPr>
              <w:t>• pH</w:t>
            </w:r>
          </w:p>
        </w:tc>
        <w:tc>
          <w:tcPr>
            <w:tcW w:w="292" w:type="dxa"/>
            <w:shd w:val="clear" w:color="auto" w:fill="auto"/>
          </w:tcPr>
          <w:p w14:paraId="7A068590" w14:textId="77777777" w:rsidR="00632C48" w:rsidRPr="009301DF" w:rsidRDefault="00632C48" w:rsidP="008855E1">
            <w:pPr>
              <w:pStyle w:val="Inne0"/>
              <w:framePr w:w="7358" w:h="1742" w:wrap="none" w:vAnchor="page" w:hAnchor="page" w:x="2416" w:y="5881"/>
              <w:spacing w:after="0"/>
              <w:jc w:val="both"/>
            </w:pPr>
          </w:p>
        </w:tc>
      </w:tr>
      <w:tr w:rsidR="00632C48" w:rsidRPr="009301DF" w14:paraId="46AC3C22" w14:textId="77777777" w:rsidTr="008855E1">
        <w:trPr>
          <w:trHeight w:hRule="exact" w:val="375"/>
        </w:trPr>
        <w:tc>
          <w:tcPr>
            <w:tcW w:w="2723" w:type="dxa"/>
            <w:shd w:val="clear" w:color="auto" w:fill="auto"/>
          </w:tcPr>
          <w:p w14:paraId="70AD6514" w14:textId="77777777" w:rsidR="00632C48" w:rsidRPr="009301DF" w:rsidRDefault="005F6F63" w:rsidP="008855E1">
            <w:pPr>
              <w:pStyle w:val="Inne0"/>
              <w:framePr w:w="7358" w:h="1742" w:wrap="none" w:vAnchor="page" w:hAnchor="page" w:x="2416" w:y="5881"/>
              <w:spacing w:after="0" w:line="276" w:lineRule="auto"/>
            </w:pPr>
            <w:r w:rsidRPr="009301DF">
              <w:rPr>
                <w:sz w:val="22"/>
              </w:rPr>
              <w:t xml:space="preserve">• </w:t>
            </w:r>
            <w:r w:rsidRPr="009301DF">
              <w:t>Temperatury</w:t>
            </w:r>
          </w:p>
        </w:tc>
        <w:tc>
          <w:tcPr>
            <w:tcW w:w="4507" w:type="dxa"/>
            <w:shd w:val="clear" w:color="auto" w:fill="auto"/>
          </w:tcPr>
          <w:p w14:paraId="470BB3B1" w14:textId="77777777" w:rsidR="00632C48" w:rsidRPr="009301DF" w:rsidRDefault="005F6F63" w:rsidP="008855E1">
            <w:pPr>
              <w:pStyle w:val="Inne0"/>
              <w:framePr w:w="7358" w:h="1742" w:wrap="none" w:vAnchor="page" w:hAnchor="page" w:x="2416" w:y="5881"/>
              <w:spacing w:after="0" w:line="276" w:lineRule="auto"/>
              <w:ind w:firstLine="760"/>
              <w:rPr>
                <w:sz w:val="22"/>
                <w:szCs w:val="22"/>
              </w:rPr>
            </w:pPr>
            <w:r w:rsidRPr="009301DF">
              <w:rPr>
                <w:sz w:val="22"/>
              </w:rPr>
              <w:t>• Czasu kontaktu</w:t>
            </w:r>
          </w:p>
        </w:tc>
        <w:tc>
          <w:tcPr>
            <w:tcW w:w="292" w:type="dxa"/>
            <w:shd w:val="clear" w:color="auto" w:fill="auto"/>
          </w:tcPr>
          <w:p w14:paraId="26F957DB" w14:textId="77777777" w:rsidR="00632C48" w:rsidRPr="009301DF" w:rsidRDefault="00632C48" w:rsidP="008855E1">
            <w:pPr>
              <w:pStyle w:val="Inne0"/>
              <w:framePr w:w="7358" w:h="1742" w:wrap="none" w:vAnchor="page" w:hAnchor="page" w:x="2416" w:y="5881"/>
              <w:spacing w:after="0"/>
            </w:pPr>
          </w:p>
        </w:tc>
      </w:tr>
      <w:tr w:rsidR="00632C48" w:rsidRPr="009301DF" w14:paraId="26F9906C" w14:textId="77777777" w:rsidTr="008855E1">
        <w:trPr>
          <w:trHeight w:hRule="exact" w:val="363"/>
        </w:trPr>
        <w:tc>
          <w:tcPr>
            <w:tcW w:w="2723" w:type="dxa"/>
            <w:shd w:val="clear" w:color="auto" w:fill="auto"/>
          </w:tcPr>
          <w:p w14:paraId="588BBA71" w14:textId="77777777" w:rsidR="00632C48" w:rsidRPr="009301DF" w:rsidRDefault="005F6F63" w:rsidP="008855E1">
            <w:pPr>
              <w:pStyle w:val="Inne0"/>
              <w:framePr w:w="7358" w:h="1742" w:wrap="none" w:vAnchor="page" w:hAnchor="page" w:x="2416" w:y="5881"/>
              <w:spacing w:after="0" w:line="276" w:lineRule="auto"/>
            </w:pPr>
            <w:r w:rsidRPr="009301DF">
              <w:rPr>
                <w:sz w:val="22"/>
              </w:rPr>
              <w:t xml:space="preserve">• </w:t>
            </w:r>
            <w:r w:rsidRPr="009301DF">
              <w:t>Stężenia</w:t>
            </w:r>
          </w:p>
        </w:tc>
        <w:tc>
          <w:tcPr>
            <w:tcW w:w="4507" w:type="dxa"/>
            <w:shd w:val="clear" w:color="auto" w:fill="auto"/>
          </w:tcPr>
          <w:p w14:paraId="037C75F1" w14:textId="77777777" w:rsidR="00632C48" w:rsidRPr="009301DF" w:rsidRDefault="005F6F63" w:rsidP="008855E1">
            <w:pPr>
              <w:pStyle w:val="Inne0"/>
              <w:framePr w:w="7358" w:h="1742" w:wrap="none" w:vAnchor="page" w:hAnchor="page" w:x="2416" w:y="5881"/>
              <w:spacing w:after="0" w:line="276" w:lineRule="auto"/>
              <w:ind w:firstLine="760"/>
              <w:rPr>
                <w:sz w:val="22"/>
                <w:szCs w:val="22"/>
              </w:rPr>
            </w:pPr>
            <w:r w:rsidRPr="009301DF">
              <w:rPr>
                <w:sz w:val="22"/>
              </w:rPr>
              <w:t>• Okrycia produktu</w:t>
            </w:r>
          </w:p>
        </w:tc>
        <w:tc>
          <w:tcPr>
            <w:tcW w:w="292" w:type="dxa"/>
            <w:shd w:val="clear" w:color="auto" w:fill="auto"/>
          </w:tcPr>
          <w:p w14:paraId="58C55FD0" w14:textId="77777777" w:rsidR="00632C48" w:rsidRPr="009301DF" w:rsidRDefault="00632C48" w:rsidP="008855E1">
            <w:pPr>
              <w:pStyle w:val="Inne0"/>
              <w:framePr w:w="7358" w:h="1742" w:wrap="none" w:vAnchor="page" w:hAnchor="page" w:x="2416" w:y="5881"/>
              <w:spacing w:after="0"/>
            </w:pPr>
          </w:p>
        </w:tc>
      </w:tr>
      <w:tr w:rsidR="00632C48" w:rsidRPr="009301DF" w14:paraId="05882046" w14:textId="77777777" w:rsidTr="008855E1">
        <w:trPr>
          <w:trHeight w:hRule="exact" w:val="380"/>
        </w:trPr>
        <w:tc>
          <w:tcPr>
            <w:tcW w:w="2723" w:type="dxa"/>
            <w:shd w:val="clear" w:color="auto" w:fill="auto"/>
            <w:vAlign w:val="bottom"/>
          </w:tcPr>
          <w:p w14:paraId="4F263B40" w14:textId="77777777" w:rsidR="00632C48" w:rsidRPr="009301DF" w:rsidRDefault="005F6F63" w:rsidP="008855E1">
            <w:pPr>
              <w:pStyle w:val="Inne0"/>
              <w:framePr w:w="7358" w:h="1742" w:wrap="none" w:vAnchor="page" w:hAnchor="page" w:x="2416" w:y="5881"/>
              <w:spacing w:after="0" w:line="276" w:lineRule="auto"/>
            </w:pPr>
            <w:r w:rsidRPr="009301DF">
              <w:rPr>
                <w:sz w:val="22"/>
              </w:rPr>
              <w:t xml:space="preserve">• </w:t>
            </w:r>
            <w:r w:rsidRPr="009301DF">
              <w:t>Wilgotności</w:t>
            </w:r>
          </w:p>
        </w:tc>
        <w:tc>
          <w:tcPr>
            <w:tcW w:w="4507" w:type="dxa"/>
            <w:shd w:val="clear" w:color="auto" w:fill="auto"/>
            <w:vAlign w:val="bottom"/>
          </w:tcPr>
          <w:p w14:paraId="08BBF30D" w14:textId="77777777" w:rsidR="00632C48" w:rsidRPr="009301DF" w:rsidRDefault="005F6F63" w:rsidP="008855E1">
            <w:pPr>
              <w:pStyle w:val="Inne0"/>
              <w:framePr w:w="7358" w:h="1742" w:wrap="none" w:vAnchor="page" w:hAnchor="page" w:x="2416" w:y="5881"/>
              <w:spacing w:after="0" w:line="276" w:lineRule="auto"/>
              <w:ind w:firstLine="760"/>
              <w:rPr>
                <w:sz w:val="22"/>
                <w:szCs w:val="22"/>
              </w:rPr>
            </w:pPr>
            <w:r w:rsidRPr="009301DF">
              <w:rPr>
                <w:sz w:val="22"/>
              </w:rPr>
              <w:t>• Konfiguracji przestrzennej</w:t>
            </w:r>
          </w:p>
        </w:tc>
        <w:tc>
          <w:tcPr>
            <w:tcW w:w="292" w:type="dxa"/>
            <w:shd w:val="clear" w:color="auto" w:fill="auto"/>
            <w:vAlign w:val="bottom"/>
          </w:tcPr>
          <w:p w14:paraId="2D67E34F" w14:textId="77777777" w:rsidR="00632C48" w:rsidRPr="009301DF" w:rsidRDefault="00632C48" w:rsidP="008855E1">
            <w:pPr>
              <w:pStyle w:val="Inne0"/>
              <w:framePr w:w="7358" w:h="1742" w:wrap="none" w:vAnchor="page" w:hAnchor="page" w:x="2416" w:y="5881"/>
              <w:spacing w:after="0"/>
            </w:pPr>
          </w:p>
        </w:tc>
      </w:tr>
      <w:tr w:rsidR="00632C48" w:rsidRPr="009301DF" w14:paraId="0FB38193" w14:textId="77777777" w:rsidTr="008855E1">
        <w:trPr>
          <w:trHeight w:hRule="exact" w:val="339"/>
        </w:trPr>
        <w:tc>
          <w:tcPr>
            <w:tcW w:w="2723" w:type="dxa"/>
            <w:shd w:val="clear" w:color="auto" w:fill="auto"/>
          </w:tcPr>
          <w:p w14:paraId="524AD759" w14:textId="77777777" w:rsidR="00632C48" w:rsidRPr="009301DF" w:rsidRDefault="005F6F63" w:rsidP="008855E1">
            <w:pPr>
              <w:pStyle w:val="Inne0"/>
              <w:framePr w:w="7358" w:h="1742" w:wrap="none" w:vAnchor="page" w:hAnchor="page" w:x="2416" w:y="5881"/>
              <w:spacing w:after="0" w:line="276" w:lineRule="auto"/>
            </w:pPr>
            <w:r w:rsidRPr="009301DF">
              <w:rPr>
                <w:sz w:val="22"/>
              </w:rPr>
              <w:t xml:space="preserve">• </w:t>
            </w:r>
            <w:r w:rsidRPr="009301DF">
              <w:t>Czasu przebywania</w:t>
            </w:r>
          </w:p>
        </w:tc>
        <w:tc>
          <w:tcPr>
            <w:tcW w:w="4507" w:type="dxa"/>
            <w:shd w:val="clear" w:color="auto" w:fill="auto"/>
          </w:tcPr>
          <w:p w14:paraId="1C345AD5" w14:textId="77777777" w:rsidR="00632C48" w:rsidRPr="009301DF" w:rsidRDefault="005F6F63" w:rsidP="008855E1">
            <w:pPr>
              <w:pStyle w:val="Inne0"/>
              <w:framePr w:w="7358" w:h="1742" w:wrap="none" w:vAnchor="page" w:hAnchor="page" w:x="2416" w:y="5881"/>
              <w:spacing w:after="0" w:line="276" w:lineRule="auto"/>
              <w:ind w:firstLine="760"/>
              <w:rPr>
                <w:sz w:val="22"/>
                <w:szCs w:val="22"/>
              </w:rPr>
            </w:pPr>
            <w:r w:rsidRPr="009301DF">
              <w:rPr>
                <w:sz w:val="22"/>
              </w:rPr>
              <w:t>• Ciśnienia</w:t>
            </w:r>
          </w:p>
        </w:tc>
        <w:tc>
          <w:tcPr>
            <w:tcW w:w="292" w:type="dxa"/>
            <w:shd w:val="clear" w:color="auto" w:fill="auto"/>
          </w:tcPr>
          <w:p w14:paraId="1F8D6DA1" w14:textId="77777777" w:rsidR="00632C48" w:rsidRPr="009301DF" w:rsidRDefault="00632C48" w:rsidP="008855E1">
            <w:pPr>
              <w:pStyle w:val="Inne0"/>
              <w:framePr w:w="7358" w:h="1742" w:wrap="none" w:vAnchor="page" w:hAnchor="page" w:x="2416" w:y="5881"/>
              <w:spacing w:after="0"/>
            </w:pPr>
          </w:p>
        </w:tc>
      </w:tr>
      <w:tr w:rsidR="00632C48" w:rsidRPr="009301DF" w14:paraId="03CEFFD4" w14:textId="77777777" w:rsidTr="008855E1">
        <w:trPr>
          <w:trHeight w:hRule="exact" w:val="393"/>
        </w:trPr>
        <w:tc>
          <w:tcPr>
            <w:tcW w:w="2723" w:type="dxa"/>
            <w:shd w:val="clear" w:color="auto" w:fill="auto"/>
            <w:vAlign w:val="bottom"/>
          </w:tcPr>
          <w:p w14:paraId="747E8DD6" w14:textId="77777777" w:rsidR="00632C48" w:rsidRPr="009301DF" w:rsidRDefault="005F6F63" w:rsidP="008855E1">
            <w:pPr>
              <w:pStyle w:val="Inne0"/>
              <w:framePr w:w="7358" w:h="1742" w:wrap="none" w:vAnchor="page" w:hAnchor="page" w:x="2416" w:y="5881"/>
              <w:spacing w:after="0" w:line="276" w:lineRule="auto"/>
            </w:pPr>
            <w:r w:rsidRPr="009301DF">
              <w:rPr>
                <w:sz w:val="22"/>
              </w:rPr>
              <w:t xml:space="preserve">• </w:t>
            </w:r>
            <w:r w:rsidRPr="009301DF">
              <w:t>Aktywności wody</w:t>
            </w:r>
          </w:p>
        </w:tc>
        <w:tc>
          <w:tcPr>
            <w:tcW w:w="4507" w:type="dxa"/>
            <w:shd w:val="clear" w:color="auto" w:fill="auto"/>
            <w:vAlign w:val="bottom"/>
          </w:tcPr>
          <w:p w14:paraId="361435BE" w14:textId="77777777" w:rsidR="00632C48" w:rsidRPr="009301DF" w:rsidRDefault="005F6F63" w:rsidP="008855E1">
            <w:pPr>
              <w:pStyle w:val="Inne0"/>
              <w:framePr w:w="7358" w:h="1742" w:wrap="none" w:vAnchor="page" w:hAnchor="page" w:x="2416" w:y="5881"/>
              <w:spacing w:after="0" w:line="276" w:lineRule="auto"/>
              <w:ind w:firstLine="760"/>
              <w:rPr>
                <w:sz w:val="22"/>
                <w:szCs w:val="22"/>
              </w:rPr>
            </w:pPr>
            <w:r w:rsidRPr="009301DF">
              <w:rPr>
                <w:sz w:val="22"/>
              </w:rPr>
              <w:t>• Ustawień lub kalibracji sprzętu</w:t>
            </w:r>
          </w:p>
        </w:tc>
        <w:tc>
          <w:tcPr>
            <w:tcW w:w="292" w:type="dxa"/>
            <w:shd w:val="clear" w:color="auto" w:fill="auto"/>
            <w:vAlign w:val="bottom"/>
          </w:tcPr>
          <w:p w14:paraId="405E7C2F" w14:textId="77777777" w:rsidR="00632C48" w:rsidRPr="009301DF" w:rsidRDefault="00632C48" w:rsidP="008855E1">
            <w:pPr>
              <w:pStyle w:val="Inne0"/>
              <w:framePr w:w="7358" w:h="1742" w:wrap="none" w:vAnchor="page" w:hAnchor="page" w:x="2416" w:y="5881"/>
              <w:spacing w:after="0"/>
            </w:pPr>
          </w:p>
        </w:tc>
      </w:tr>
    </w:tbl>
    <w:p w14:paraId="373918F2" w14:textId="77777777" w:rsidR="00632C48" w:rsidRPr="009301DF" w:rsidRDefault="005F6F63" w:rsidP="00D66098">
      <w:pPr>
        <w:pStyle w:val="Teksttreci0"/>
        <w:framePr w:w="9490" w:h="7254" w:hRule="exact" w:wrap="none" w:vAnchor="page" w:hAnchor="page" w:x="1489" w:y="8251"/>
      </w:pPr>
      <w:r w:rsidRPr="009301DF">
        <w:t xml:space="preserve">Aby procedury procesowe były skuteczne, powinny być spójne z krytycznymi parametrami operacyjnymi zawartymi we wsparciu naukowym. Na przykład, jeśli we wsparciu naukowym wymieniono konkretny krytyczny parametr operacyjny, taki jak stężenie środka przeciwdrobnoustrojowego, to takie samo stężenie powinno być stosowane w procesie. W niektórych przypadkach zakłady mogą być w stanie wspierać stosowanie innych poziomów krytycznego parametru operacyjnego niż te użyte we wsparciu. Na przykład zakład może być w stanie przedstawić uzasadnienie, dlaczego zastosowanie wyższej temperatury dla śmiertelności niż ta zastosowana we wsparciu naukowym spowodowałoby taki sam poziom redukcji patogenów. W przypadku zastosowania innych poziomów krytycznego parametru operacyjnego niż te w dokumencie wsparcia, zakłady powinny rozważyć opracowanie dokumentu decyzyjnego, który poda naukowe uzasadnienie, dlaczego inny poziom nie wpłynie na skuteczność działania interwencyjnego lub procesu. Przykład znajduje się w </w:t>
      </w:r>
      <w:hyperlink w:anchor="bookmark37" w:tooltip="Current Document">
        <w:r w:rsidRPr="009301DF">
          <w:t xml:space="preserve"> </w:t>
        </w:r>
        <w:r w:rsidRPr="009301DF">
          <w:rPr>
            <w:color w:val="0000FF"/>
            <w:u w:val="single"/>
          </w:rPr>
          <w:t>Dodatku 2</w:t>
        </w:r>
        <w:r w:rsidRPr="009301DF">
          <w:rPr>
            <w:color w:val="0000FF"/>
          </w:rPr>
          <w:t xml:space="preserve"> </w:t>
        </w:r>
      </w:hyperlink>
      <w:r w:rsidRPr="009301DF">
        <w:t xml:space="preserve">. To naukowe uzasadnienie może być dostarczone przez organ zajmujący się przetwarzaniem lub innego eksperta </w:t>
      </w:r>
      <w:r w:rsidRPr="009301DF">
        <w:rPr>
          <w:u w:val="single"/>
        </w:rPr>
        <w:t>pod warunkiem</w:t>
      </w:r>
      <w:r w:rsidRPr="009301DF">
        <w:t>, że istnieje odniesienie do ustalonych zasad naukowych lub recenzowanych danych naukowych a nie opiera się wyłącznie na opinii eksperta.</w:t>
      </w:r>
    </w:p>
    <w:p w14:paraId="247EC6D8" w14:textId="70BEEE3D" w:rsidR="00632C48" w:rsidRPr="009301DF" w:rsidRDefault="005F6F63" w:rsidP="00D66098">
      <w:pPr>
        <w:pStyle w:val="Teksttreci0"/>
        <w:framePr w:w="9490" w:h="7254" w:hRule="exact" w:wrap="none" w:vAnchor="page" w:hAnchor="page" w:x="1489" w:y="8251"/>
        <w:spacing w:after="0"/>
      </w:pPr>
      <w:r w:rsidRPr="009301DF">
        <w:t xml:space="preserve">Opracowanie dokumentu decyzyjnego oraz uzasadnienie zastosowania krytycznego parametru operacyjnego innego niż ten w dokumentacji naukowej jest ważne, ponieważ zmiana krytycznego parametru operacyjnego może wpłynąć na zamierzony wynik w nieoczekiwany sposób. Przykładowo, środki przeciwdrobnoustrojowe zostały uznane za bezpieczne i odpowiednie aż do określonych stężeń przy określonych poziomach pH wymienionych w </w:t>
      </w:r>
      <w:hyperlink r:id="rId44" w:history="1">
        <w:r w:rsidRPr="009301DF">
          <w:t xml:space="preserve"> </w:t>
        </w:r>
        <w:r w:rsidR="000B6ED1">
          <w:rPr>
            <w:i/>
            <w:color w:val="0000FF"/>
          </w:rPr>
          <w:t>D</w:t>
        </w:r>
        <w:r w:rsidRPr="009301DF">
          <w:rPr>
            <w:i/>
            <w:color w:val="0000FF"/>
          </w:rPr>
          <w:t>yrektywie FSIS</w:t>
        </w:r>
      </w:hyperlink>
      <w:r w:rsidRPr="009301DF">
        <w:rPr>
          <w:i/>
          <w:color w:val="0000FF"/>
        </w:rPr>
        <w:t xml:space="preserve"> </w:t>
      </w:r>
      <w:hyperlink r:id="rId45" w:history="1">
        <w:r w:rsidRPr="009301DF">
          <w:rPr>
            <w:i/>
            <w:color w:val="0000FF"/>
            <w:u w:val="single"/>
          </w:rPr>
          <w:t>7120.1</w:t>
        </w:r>
        <w:r w:rsidRPr="009301DF">
          <w:rPr>
            <w:color w:val="0000FF"/>
          </w:rPr>
          <w:t xml:space="preserve"> </w:t>
        </w:r>
      </w:hyperlink>
      <w:r w:rsidRPr="009301DF">
        <w:t xml:space="preserve"> oraz 9 CFR 424.21(c)). Chociaż dyrektywa i rozporządzenie przewidują maksymalne dopuszczalne stężenia środków przeciwdrobnoustrojowych, zakład musi w swoim wsparciu naukowym określić</w:t>
      </w:r>
    </w:p>
    <w:p w14:paraId="2E9F1886"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287C8E2B" w14:textId="77777777" w:rsidR="00632C48" w:rsidRPr="009301DF" w:rsidRDefault="00632C48">
      <w:pPr>
        <w:spacing w:line="1" w:lineRule="exact"/>
      </w:pPr>
    </w:p>
    <w:p w14:paraId="4D66D805" w14:textId="77777777" w:rsidR="00632C48" w:rsidRPr="009301DF" w:rsidRDefault="005F6F63" w:rsidP="007C1C8A">
      <w:pPr>
        <w:pStyle w:val="Teksttreci0"/>
        <w:framePr w:w="9518" w:h="14888" w:hRule="exact" w:wrap="none" w:vAnchor="page" w:hAnchor="page" w:x="1475" w:y="774"/>
      </w:pPr>
      <w:r w:rsidRPr="009301DF">
        <w:t>optymalne stężenie dla swojego procesu w oparciu o krytyczne parametry operacyjne  (np. artykuły w czasopismach, badania kwestionujące). Stężenie wybrane przez zakład jest często stężeniem, przy którym obserwuje się maksymalną skuteczność. W przypadku stosowania kombinacji środków przeciwdrobnoustrojowych można zaobserwować efekt synergiczny lub addytywny. Powyżej optymalnego stężenia, choć nadal w dopuszczalnym zakresie, skuteczność chemiczna lub przeciwdrobnoustrojowa spada, ponieważ komórki/błona mikroorganizmu są nasycone związkiem, a dalsza inaktywacja bakterii nie jest obserwowana. Innymi słowy, większa ilość środka przeciwdrobnoustrojowego nie zawsze jest lepszym rozwiązaniem. Zakład może być w stanie poprzeć stosowanie wyższego stężenia środka przeciwdrobnoustrojowego w swoim procesie niż to, które zostało zastosowane we wsparciu naukowym, ale w dopuszczalnym zakresie, pod warunkiem, że oceni, czy zmiany stężenia wpłynęłyby na skuteczność działania interwencyjnego lub procesu oraz że istnieją naukowe podstawy dla takiej decyzji.</w:t>
      </w:r>
    </w:p>
    <w:p w14:paraId="7D7A0DD5" w14:textId="77777777" w:rsidR="00632C48" w:rsidRPr="009301DF" w:rsidRDefault="005F6F63" w:rsidP="007C1C8A">
      <w:pPr>
        <w:pStyle w:val="Teksttreci0"/>
        <w:framePr w:w="9518" w:h="14888" w:hRule="exact" w:wrap="none" w:vAnchor="page" w:hAnchor="page" w:x="1475" w:y="774"/>
      </w:pPr>
      <w:r w:rsidRPr="009301DF">
        <w:t>Aby zidentyfikować krytyczne parametry operacyjne podczas oceny wsparcia naukowego, można zadać kilka pytań. Na przykład:</w:t>
      </w:r>
    </w:p>
    <w:p w14:paraId="4E71924C" w14:textId="209C65C8" w:rsidR="00632C48" w:rsidRPr="009301DF" w:rsidRDefault="005F6F63" w:rsidP="007C1C8A">
      <w:pPr>
        <w:pStyle w:val="Teksttreci0"/>
        <w:framePr w:w="9518" w:h="14888" w:hRule="exact" w:wrap="none" w:vAnchor="page" w:hAnchor="page" w:x="1475" w:y="774"/>
        <w:numPr>
          <w:ilvl w:val="0"/>
          <w:numId w:val="6"/>
        </w:numPr>
        <w:spacing w:after="0" w:line="264" w:lineRule="auto"/>
      </w:pPr>
      <w:r w:rsidRPr="009301DF">
        <w:t>Jakie parametry zostały zmierzone podczas badań?</w:t>
      </w:r>
    </w:p>
    <w:p w14:paraId="1F10AE52" w14:textId="77777777" w:rsidR="003F700F" w:rsidRDefault="005F6F63" w:rsidP="007C1C8A">
      <w:pPr>
        <w:pStyle w:val="Teksttreci0"/>
        <w:framePr w:w="9518" w:h="14888" w:hRule="exact" w:wrap="none" w:vAnchor="page" w:hAnchor="page" w:x="1475" w:y="774"/>
        <w:numPr>
          <w:ilvl w:val="0"/>
          <w:numId w:val="6"/>
        </w:numPr>
        <w:spacing w:after="0" w:line="254" w:lineRule="auto"/>
      </w:pPr>
      <w:r w:rsidRPr="009301DF">
        <w:t xml:space="preserve">Gdzie w procesie lub na produkcie wykonano pomiary? </w:t>
      </w:r>
    </w:p>
    <w:p w14:paraId="7606596E" w14:textId="34493E85" w:rsidR="00632C48" w:rsidRPr="009301DF" w:rsidRDefault="005F6F63" w:rsidP="003F700F">
      <w:pPr>
        <w:pStyle w:val="Teksttreci0"/>
        <w:framePr w:w="9518" w:h="14888" w:hRule="exact" w:wrap="none" w:vAnchor="page" w:hAnchor="page" w:x="1475" w:y="774"/>
        <w:numPr>
          <w:ilvl w:val="1"/>
          <w:numId w:val="13"/>
        </w:numPr>
        <w:spacing w:after="0"/>
      </w:pPr>
      <w:r w:rsidRPr="009301DF">
        <w:t>Czy zakład zwyczajowo wykonuje pomiary w tych miejscach?</w:t>
      </w:r>
    </w:p>
    <w:p w14:paraId="6CA1B969" w14:textId="3FDAA075" w:rsidR="00632C48" w:rsidRPr="009301DF" w:rsidRDefault="005F6F63" w:rsidP="007C1C8A">
      <w:pPr>
        <w:pStyle w:val="Teksttreci0"/>
        <w:framePr w:w="9518" w:h="14888" w:hRule="exact" w:wrap="none" w:vAnchor="page" w:hAnchor="page" w:x="1475" w:y="774"/>
        <w:numPr>
          <w:ilvl w:val="0"/>
          <w:numId w:val="6"/>
        </w:numPr>
        <w:spacing w:after="0" w:line="264" w:lineRule="auto"/>
      </w:pPr>
      <w:r w:rsidRPr="009301DF">
        <w:t xml:space="preserve">Jakie parametry, jeśli w ogóle, były utrzymywane na stałym poziomie w warunkach eksperymentalnych? </w:t>
      </w:r>
      <w:r w:rsidRPr="009301DF">
        <w:rPr>
          <w:sz w:val="22"/>
        </w:rPr>
        <w:t xml:space="preserve">• </w:t>
      </w:r>
      <w:r w:rsidRPr="009301DF">
        <w:t>Jakie parametry, jeśli w ogóle, były zmieniane lub modyfikowane podczas badań?</w:t>
      </w:r>
    </w:p>
    <w:p w14:paraId="1352D314" w14:textId="7920A2F0" w:rsidR="00632C48" w:rsidRPr="009301DF" w:rsidRDefault="005F6F63" w:rsidP="007C1C8A">
      <w:pPr>
        <w:pStyle w:val="Teksttreci0"/>
        <w:framePr w:w="9518" w:h="14888" w:hRule="exact" w:wrap="none" w:vAnchor="page" w:hAnchor="page" w:x="1475" w:y="774"/>
        <w:numPr>
          <w:ilvl w:val="1"/>
          <w:numId w:val="13"/>
        </w:numPr>
        <w:spacing w:after="0"/>
      </w:pPr>
      <w:r w:rsidRPr="009301DF">
        <w:t>Czy po zmianie tych parametrów zmieniła się również skuteczność działań interwencyjnych?</w:t>
      </w:r>
    </w:p>
    <w:p w14:paraId="6B786953" w14:textId="7417BFDB" w:rsidR="00632C48" w:rsidRPr="009301DF" w:rsidRDefault="005F6F63" w:rsidP="007C1C8A">
      <w:pPr>
        <w:pStyle w:val="Teksttreci0"/>
        <w:framePr w:w="9518" w:h="14888" w:hRule="exact" w:wrap="none" w:vAnchor="page" w:hAnchor="page" w:x="1475" w:y="774"/>
        <w:numPr>
          <w:ilvl w:val="1"/>
          <w:numId w:val="13"/>
        </w:numPr>
        <w:spacing w:after="0"/>
      </w:pPr>
      <w:r w:rsidRPr="009301DF">
        <w:t>Jeśli tak, czy te parametry zostały uwzględnione w procesie?</w:t>
      </w:r>
    </w:p>
    <w:p w14:paraId="056D84CD" w14:textId="6C4D7F51" w:rsidR="00632C48" w:rsidRPr="009301DF" w:rsidRDefault="005F6F63" w:rsidP="007C1C8A">
      <w:pPr>
        <w:pStyle w:val="Teksttreci0"/>
        <w:framePr w:w="9518" w:h="14888" w:hRule="exact" w:wrap="none" w:vAnchor="page" w:hAnchor="page" w:x="1475" w:y="774"/>
        <w:numPr>
          <w:ilvl w:val="0"/>
          <w:numId w:val="6"/>
        </w:numPr>
        <w:spacing w:after="0"/>
      </w:pPr>
      <w:r w:rsidRPr="009301DF">
        <w:t>Czy autorzy przedstawili jakiekolwiek wytyczne dotyczące ograniczeń badania lub przestrogi przed stosowaniem wyników wykraczających poza zakres badania?</w:t>
      </w:r>
    </w:p>
    <w:p w14:paraId="558C5276" w14:textId="749E549B" w:rsidR="00632C48" w:rsidRPr="009301DF" w:rsidRDefault="005F6F63" w:rsidP="007C1C8A">
      <w:pPr>
        <w:pStyle w:val="Teksttreci0"/>
        <w:framePr w:w="9518" w:h="14888" w:hRule="exact" w:wrap="none" w:vAnchor="page" w:hAnchor="page" w:x="1475" w:y="774"/>
        <w:numPr>
          <w:ilvl w:val="1"/>
          <w:numId w:val="13"/>
        </w:numPr>
        <w:spacing w:after="0"/>
      </w:pPr>
      <w:r w:rsidRPr="009301DF">
        <w:t>Czy były jakieś parametry kontrolowane w laboratorium, które różnią się w zakładzie, i o których powinieneś wiedzieć?</w:t>
      </w:r>
    </w:p>
    <w:p w14:paraId="0344563B" w14:textId="01ECCDC3" w:rsidR="00632C48" w:rsidRPr="009301DF" w:rsidRDefault="005F6F63" w:rsidP="007C1C8A">
      <w:pPr>
        <w:pStyle w:val="Teksttreci0"/>
        <w:framePr w:w="9518" w:h="14888" w:hRule="exact" w:wrap="none" w:vAnchor="page" w:hAnchor="page" w:x="1475" w:y="774"/>
        <w:numPr>
          <w:ilvl w:val="1"/>
          <w:numId w:val="13"/>
        </w:numPr>
      </w:pPr>
      <w:r w:rsidRPr="009301DF">
        <w:t>Jeśli tak, zastanawiałeś się, czy mają one zastosowanie do Twojego procesu?</w:t>
      </w:r>
    </w:p>
    <w:p w14:paraId="6FACD558" w14:textId="4C99A4B1" w:rsidR="00632C48" w:rsidRPr="009301DF" w:rsidRDefault="005F6F63" w:rsidP="007C1C8A">
      <w:pPr>
        <w:pStyle w:val="Teksttreci0"/>
        <w:framePr w:w="9518" w:h="14888" w:hRule="exact" w:wrap="none" w:vAnchor="page" w:hAnchor="page" w:x="1475" w:y="774"/>
        <w:spacing w:after="0"/>
      </w:pPr>
      <w:r w:rsidRPr="009301DF">
        <w:t>Jeśli wsparcie naukowe nie dokumentuje pomiaru krytycznego parametru operacyjnego, zakład powinien ocenić, czy ten parametr rzeczywiście musi być spełniony lub zmierzony, lub czy potrzebne jest dodatkowe wsparcie dla uzyskania poziomu tego parametru w rzeczywistym procesie. Na przykład wilgotność jest krytycznym parametrem operacyjnym podczas gotowania lub podgrzewania wielu gotowych do spożycia produktów mięsnych i drobiowych. Jednak w przypadku produkcji niektórych z tych produktów wilgotność nie musi być przestrzegana ani mierzona. Dla przykładu, jak wspomniano w</w:t>
      </w:r>
      <w:hyperlink r:id="rId46" w:history="1">
        <w:r w:rsidRPr="009301DF">
          <w:t xml:space="preserve"> </w:t>
        </w:r>
        <w:r w:rsidRPr="009301DF">
          <w:rPr>
            <w:i/>
            <w:color w:val="0000FF"/>
            <w:u w:val="single"/>
          </w:rPr>
          <w:t>Dodatku A Wytyczne dotyczące wilgotności względnej i czasu/temperatury gotowania/podgrzewania oraz możliwości ich zastosowania w produkcji innych gotowych do spożycia produktów mięsnych i drobiowych</w:t>
        </w:r>
      </w:hyperlink>
      <w:r w:rsidRPr="009301DF">
        <w:rPr>
          <w:i/>
          <w:color w:val="0000FF"/>
          <w:u w:val="single"/>
        </w:rPr>
        <w:t xml:space="preserve"> </w:t>
      </w:r>
      <w:hyperlink r:id="rId47" w:history="1">
        <w:r w:rsidRPr="009301DF">
          <w:rPr>
            <w:i/>
            <w:color w:val="0000FF"/>
            <w:u w:val="single"/>
          </w:rPr>
          <w:t>Guidance on Relative Humidity and Time/Temperature for Cooking/Heating and Applicability to Production of Other Ready-</w:t>
        </w:r>
      </w:hyperlink>
      <w:r w:rsidRPr="009301DF">
        <w:rPr>
          <w:i/>
          <w:color w:val="0000FF"/>
          <w:u w:val="single"/>
        </w:rPr>
        <w:t xml:space="preserve"> </w:t>
      </w:r>
      <w:hyperlink r:id="rId48" w:history="1">
        <w:r w:rsidRPr="009301DF">
          <w:rPr>
            <w:i/>
            <w:color w:val="0000FF"/>
            <w:u w:val="single"/>
          </w:rPr>
          <w:t>to-eat Meat and Poultry Products</w:t>
        </w:r>
        <w:r w:rsidRPr="009301DF">
          <w:t>,</w:t>
        </w:r>
      </w:hyperlink>
      <w:r w:rsidRPr="009301DF">
        <w:t xml:space="preserve"> wilgotność nie musi być przestrzegana ani mierzona, gdy produkt jest gotowany w szczelnej, nieprzepuszczającej wilgoci torbie. Zakłady produkujące takie produkty mogą opracować dokument decyzyjny i powołać się na wytyczne Dodatku A dotyczące wilgotności względnej jako uzasadnienie, dlaczego wilgotność nie musi być mierzona w procesie. W tym przypadku ważne jest, aby zakład wziął pod uwagę parametry, które są istotne dla jego produktu i procesu,</w:t>
      </w:r>
      <w:r w:rsidR="008855E1">
        <w:t xml:space="preserve"> </w:t>
      </w:r>
      <w:r w:rsidR="008855E1" w:rsidRPr="009301DF">
        <w:t>a nie zakładał,</w:t>
      </w:r>
    </w:p>
    <w:p w14:paraId="54818EDA"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095211BF" w14:textId="77777777" w:rsidR="00632C48" w:rsidRPr="009301DF" w:rsidRDefault="00632C48">
      <w:pPr>
        <w:spacing w:line="1" w:lineRule="exact"/>
      </w:pPr>
    </w:p>
    <w:p w14:paraId="2C7F89FB" w14:textId="1F9DCB1F" w:rsidR="00632C48" w:rsidRPr="009301DF" w:rsidRDefault="005F6F63" w:rsidP="007C1C8A">
      <w:pPr>
        <w:pStyle w:val="Teksttreci0"/>
        <w:framePr w:w="9466" w:h="12774" w:hRule="exact" w:wrap="none" w:vAnchor="page" w:hAnchor="page" w:x="1501" w:y="766"/>
      </w:pPr>
      <w:r w:rsidRPr="009301DF">
        <w:t>że tylko dlatego, że parametr nie został zmierzony w ramach wsparcia naukowego, nie jest on ważny.</w:t>
      </w:r>
    </w:p>
    <w:p w14:paraId="33DD2180" w14:textId="77777777" w:rsidR="00632C48" w:rsidRPr="009301DF" w:rsidRDefault="005F6F63" w:rsidP="007C1C8A">
      <w:pPr>
        <w:pStyle w:val="Teksttreci0"/>
        <w:framePr w:w="9466" w:h="12774" w:hRule="exact" w:wrap="none" w:vAnchor="page" w:hAnchor="page" w:x="1501" w:y="766"/>
      </w:pPr>
      <w:r w:rsidRPr="009301DF">
        <w:t>W przypadku programów warunków wstępnych, które są wdrażane w wielu punktach lub na wielu etapach procesu, takich jak programy kontroli alergenów lub programy obejmujące pisemne procedury higienicznego oprawiania tusz, zakłady mogą polegać na wsparciu naukowym lub technicznym, które zawiera najlepsze praktyki dotyczące wdrażania takich programów. Opierając się na tego rodzaju wsparciu naukowym lub technicznym, zakłady mogą uznać zalecane procedury, które powinny zostać włączone do pisemnego programu warunków wstępnych, za krytyczne parametry operacyjne. Procedury te zostałyby uznane za krytyczne parametry operacyjne, ponieważ kroki te muszą zostać wdrożone i monitorowane w celu zapewnienia, że program skutecznie zapobiega wystąpieniu zagrożenia.</w:t>
      </w:r>
    </w:p>
    <w:p w14:paraId="455AF1A2" w14:textId="77777777" w:rsidR="00632C48" w:rsidRPr="009301DF" w:rsidRDefault="005F6F63" w:rsidP="007C1C8A">
      <w:pPr>
        <w:pStyle w:val="Teksttreci0"/>
        <w:framePr w:w="9466" w:h="12774" w:hRule="exact" w:wrap="none" w:vAnchor="page" w:hAnchor="page" w:x="1501" w:y="766"/>
      </w:pPr>
      <w:r w:rsidRPr="009301DF">
        <w:t xml:space="preserve">Dodatkowe wskazówki dotyczące sposobu identyfikacji krytycznych parametrów operacyjnych na podstawie wsparcia naukowego znajdują się w </w:t>
      </w:r>
      <w:hyperlink w:anchor="bookmark39" w:tooltip="Current Document">
        <w:r w:rsidRPr="009301DF">
          <w:t xml:space="preserve"> </w:t>
        </w:r>
        <w:r w:rsidRPr="009301DF">
          <w:rPr>
            <w:color w:val="0000FF"/>
            <w:u w:val="single"/>
          </w:rPr>
          <w:t>Dodatku 3</w:t>
        </w:r>
        <w:r w:rsidRPr="009301DF">
          <w:rPr>
            <w:color w:val="0000FF"/>
          </w:rPr>
          <w:t xml:space="preserve"> </w:t>
        </w:r>
      </w:hyperlink>
      <w:r w:rsidRPr="009301DF">
        <w:t>.</w:t>
      </w:r>
      <w:hyperlink w:anchor="bookmark41" w:tooltip="Current Document">
        <w:r w:rsidRPr="009301DF">
          <w:t xml:space="preserve"> </w:t>
        </w:r>
        <w:r w:rsidRPr="009301DF">
          <w:rPr>
            <w:color w:val="0000FF"/>
            <w:u w:val="single"/>
          </w:rPr>
          <w:t>Dodatek 4</w:t>
        </w:r>
        <w:r w:rsidRPr="009301DF">
          <w:rPr>
            <w:color w:val="0000FF"/>
          </w:rPr>
          <w:t xml:space="preserve"> </w:t>
        </w:r>
      </w:hyperlink>
      <w:r w:rsidRPr="009301DF">
        <w:t>zawiera przykłady krytycznych parametrów operacyjnych, które zostały zidentyfikowane dla różnych rodzajów procesów i wsparcia naukowego. Podano również przykłady oczekiwanych rodzajów dokumentacji w zakładzie.</w:t>
      </w:r>
    </w:p>
    <w:p w14:paraId="4CF4AE4A" w14:textId="77777777" w:rsidR="00632C48" w:rsidRPr="009301DF" w:rsidRDefault="005F6F63" w:rsidP="007C1C8A">
      <w:pPr>
        <w:pStyle w:val="Teksttreci0"/>
        <w:framePr w:w="9466" w:h="12774" w:hRule="exact" w:wrap="none" w:vAnchor="page" w:hAnchor="page" w:x="1501" w:y="766"/>
        <w:spacing w:after="0"/>
      </w:pPr>
      <w:r w:rsidRPr="009301DF">
        <w:rPr>
          <w:b/>
        </w:rPr>
        <w:t xml:space="preserve">Kluczowe punkty </w:t>
      </w:r>
      <w:r w:rsidRPr="009301DF">
        <w:t>Zakład, który gromadzi wsparcie naukowe dla swoich procesów (i prawidłowo identyfikuje krytyczne parametry operacyjne w ramach wsparcia), jak opisano powyżej, spełniłby próg wskazany w Przepisie Końcowym Systemów HACCP (</w:t>
      </w:r>
      <w:r w:rsidRPr="009301DF">
        <w:rPr>
          <w:i/>
          <w:iCs/>
        </w:rPr>
        <w:t>HACCP Systems Final Rule - 61 FR 38806</w:t>
      </w:r>
      <w:r w:rsidRPr="009301DF">
        <w:t>) dla pierwszego elementu wstępnej walidacji w projektowaniu ważnego systemu HACCP. Procesy zakładu zostałyby przez FSIS uznane za oparte lub poparte udokumentowanymi dowodami naukowymi. Procesy te nie wymagałyby dodatkowego wsparcia naukowego w ramach procesu wstępnej walidacji. Jednakże, jak stwierdzono w Przepisach Końcowych Systemów HACCP (61 FR 38826), zakład wprowadzający nową technologię, która nie została ustalona w literaturze lub stosujący standardową technologię w nietypowy sposób (np. modyfikując krytyczne parametry operacyjne pochodzące z literatury) powinien zebrać wsparcie naukowe i dane walidacyjne w zakładzie dla swojego nowego lub zmodyfikowanego systemu HACCP, w komercyjnych warunkach operacyjnych. Wysiłek włożony w opracowanie takich informacji może wymagać od zakładu przeprowadzenia lub zlecenia przeprowadzenia badań naukowych w warunkach laboratoryjnych, w zakładzie pilotażowym lub po prostu w zakładzie. Zakład, który nie ma doświadczenia z daną technologią, powinien również zebrać dane naukowe i dane dotyczące walidacji na swoim terenie, z wyjątkiem sytuacji, gdy skuteczność nowej technologii została już zbadana, ale zakład nie ma doświadczenia z jej wdrażaniem. W takim przypadku wysiłek włożony w opracowanie takich informacji może koncentrować się bardziej na gromadzeniu danych dotyczących walidacji w zakładzie (omówionych bardziej szczegółowo w następnej sekcji).</w:t>
      </w:r>
    </w:p>
    <w:p w14:paraId="61CF2FF0"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646EE8F8" w14:textId="77777777" w:rsidR="00632C48" w:rsidRPr="009301DF" w:rsidRDefault="00632C48">
      <w:pPr>
        <w:spacing w:line="1" w:lineRule="exact"/>
      </w:pPr>
    </w:p>
    <w:p w14:paraId="0DEC69AF" w14:textId="77777777" w:rsidR="00632C48" w:rsidRPr="009301DF" w:rsidRDefault="005F6F63" w:rsidP="003F700F">
      <w:pPr>
        <w:pStyle w:val="Podpisobrazu0"/>
        <w:framePr w:w="10980" w:h="9885" w:hRule="exact" w:wrap="none" w:vAnchor="page" w:hAnchor="page" w:x="807" w:y="934"/>
        <w:pBdr>
          <w:top w:val="single" w:sz="4" w:space="1" w:color="auto"/>
          <w:left w:val="single" w:sz="4" w:space="4" w:color="auto"/>
          <w:bottom w:val="single" w:sz="4" w:space="1" w:color="auto"/>
          <w:right w:val="single" w:sz="4" w:space="4" w:color="auto"/>
        </w:pBdr>
        <w:shd w:val="clear" w:color="auto" w:fill="E9F0F8"/>
      </w:pPr>
      <w:r w:rsidRPr="009301DF">
        <w:rPr>
          <w:b/>
        </w:rPr>
        <w:t>KLUCZOWE PYTANIE</w:t>
      </w:r>
    </w:p>
    <w:p w14:paraId="419F0E27" w14:textId="77777777" w:rsidR="00632C48" w:rsidRPr="009301DF" w:rsidRDefault="005F6F63" w:rsidP="003F700F">
      <w:pPr>
        <w:pStyle w:val="Podpisobrazu0"/>
        <w:framePr w:w="10980" w:h="9885" w:hRule="exact" w:wrap="none" w:vAnchor="page" w:hAnchor="page" w:x="807" w:y="934"/>
        <w:pBdr>
          <w:top w:val="single" w:sz="4" w:space="1" w:color="auto"/>
          <w:left w:val="single" w:sz="4" w:space="4" w:color="auto"/>
          <w:bottom w:val="single" w:sz="4" w:space="1" w:color="auto"/>
          <w:right w:val="single" w:sz="4" w:space="4" w:color="auto"/>
        </w:pBdr>
        <w:shd w:val="clear" w:color="auto" w:fill="E9F0F8"/>
      </w:pPr>
      <w:r w:rsidRPr="008855E1">
        <w:rPr>
          <w:u w:val="single"/>
        </w:rPr>
        <w:t>Pytanie</w:t>
      </w:r>
      <w:r w:rsidRPr="009301DF">
        <w:t>: Czy proces prowadzony w zakładzie może wykorzystywać inny poziom krytycznego parametru operacyjnego (na przykład wyższe stężenie środka przeciwdrobnoustrojowego lub wyższą temperaturę przetwarzania) niż ten, który został zastosowany we wsparciu naukowym lub technicznym?</w:t>
      </w:r>
    </w:p>
    <w:p w14:paraId="0DEED51F" w14:textId="77777777" w:rsidR="00632C48" w:rsidRPr="009301DF" w:rsidRDefault="005F6F63" w:rsidP="003F700F">
      <w:pPr>
        <w:pStyle w:val="Podpisobrazu0"/>
        <w:framePr w:w="10980" w:h="9885" w:hRule="exact" w:wrap="none" w:vAnchor="page" w:hAnchor="page" w:x="807" w:y="934"/>
        <w:pBdr>
          <w:top w:val="single" w:sz="4" w:space="1" w:color="auto"/>
          <w:left w:val="single" w:sz="4" w:space="4" w:color="auto"/>
          <w:bottom w:val="single" w:sz="4" w:space="1" w:color="auto"/>
          <w:right w:val="single" w:sz="4" w:space="4" w:color="auto"/>
        </w:pBdr>
        <w:shd w:val="clear" w:color="auto" w:fill="E9F0F8"/>
      </w:pPr>
      <w:r w:rsidRPr="008855E1">
        <w:rPr>
          <w:u w:val="single"/>
        </w:rPr>
        <w:t>Odpowiedź</w:t>
      </w:r>
      <w:r w:rsidRPr="009301DF">
        <w:t xml:space="preserve">: Ogólnie rzecz biorąc, zakłady powinny stosować takie same krytyczne parametry operacyjne, jak te zawarte we wsparciu naukowym lub technicznym. Dopuszczalne są jednak pewne niewielkie różnice. Na przykład, tabela 1 w </w:t>
      </w:r>
      <w:hyperlink r:id="rId49" w:history="1">
        <w:r w:rsidRPr="009301DF">
          <w:t xml:space="preserve"> </w:t>
        </w:r>
        <w:r w:rsidRPr="009301DF">
          <w:rPr>
            <w:color w:val="0000FF"/>
            <w:u w:val="single"/>
          </w:rPr>
          <w:t xml:space="preserve">dokumencie Tompkina </w:t>
        </w:r>
        <w:r w:rsidRPr="009301DF">
          <w:rPr>
            <w:i/>
            <w:iCs/>
            <w:color w:val="0000FF"/>
            <w:u w:val="single"/>
          </w:rPr>
          <w:t>(Tompkin paper</w:t>
        </w:r>
        <w:r w:rsidRPr="009301DF">
          <w:rPr>
            <w:color w:val="0000FF"/>
            <w:u w:val="single"/>
          </w:rPr>
          <w:t>)</w:t>
        </w:r>
        <w:r w:rsidRPr="009301DF">
          <w:rPr>
            <w:color w:val="0000FF"/>
          </w:rPr>
          <w:t xml:space="preserve"> </w:t>
        </w:r>
      </w:hyperlink>
      <w:r w:rsidRPr="009301DF">
        <w:t xml:space="preserve"> może być wykorzystana do wsparcia KPK (</w:t>
      </w:r>
      <w:r w:rsidRPr="009301DF">
        <w:rPr>
          <w:i/>
          <w:iCs/>
        </w:rPr>
        <w:t>Critical Control Point</w:t>
      </w:r>
      <w:r w:rsidRPr="009301DF">
        <w:t xml:space="preserve"> - krytyczny punkt kontroli) dla temperatury przechowywania surowego mięsa na poziomie 45</w:t>
      </w:r>
      <w:r w:rsidRPr="009301DF">
        <w:rPr>
          <w:vertAlign w:val="superscript"/>
        </w:rPr>
        <w:t>o</w:t>
      </w:r>
      <w:r w:rsidRPr="009301DF">
        <w:t>F, mimo że podaje 44,6</w:t>
      </w:r>
      <w:r w:rsidRPr="009301DF">
        <w:rPr>
          <w:vertAlign w:val="superscript"/>
        </w:rPr>
        <w:t>o</w:t>
      </w:r>
      <w:r w:rsidRPr="009301DF">
        <w:t>F jako minimalną temperaturę rozwoju Salmonelli. To zaokrąglenie jest odpowiednie, ponieważ tempo rozwoju bakterii Salmonelli w temperaturze 45oFnie różni się znacząco od tempa rozwoju w temperaturze 44,6</w:t>
      </w:r>
      <w:r w:rsidRPr="009301DF">
        <w:rPr>
          <w:vertAlign w:val="superscript"/>
        </w:rPr>
        <w:t>o</w:t>
      </w:r>
      <w:r w:rsidRPr="009301DF">
        <w:t>F. Ponadto, gdy temperatury są przeliczane z Celsjusza na Fahrenheita, jak w Tabeli 1 dokumentu Tompkina, liczby są często przeliczane na ułamki, które zakłady mogą zaokrąglać do liczb całkowitych ze względu na praktyczne ograniczenia pomiarowe sprzętu w tych zakładach. Z drugiej strony, zaokrąglanie może nie być odpowiednie dla innych krytycznych parametrów operacyjnych, takich jak aktywność wody i pH, ponieważ niewielkie zmiany tych wartości mogą mieć znaczący wpływ na wzrost patogenów.</w:t>
      </w:r>
    </w:p>
    <w:p w14:paraId="1E72CFC5" w14:textId="77777777" w:rsidR="00632C48" w:rsidRPr="009301DF" w:rsidRDefault="005F6F63" w:rsidP="003F700F">
      <w:pPr>
        <w:pStyle w:val="Podpisobrazu0"/>
        <w:framePr w:w="10980" w:h="9885" w:hRule="exact" w:wrap="none" w:vAnchor="page" w:hAnchor="page" w:x="807" w:y="934"/>
        <w:pBdr>
          <w:top w:val="single" w:sz="4" w:space="1" w:color="auto"/>
          <w:left w:val="single" w:sz="4" w:space="4" w:color="auto"/>
          <w:bottom w:val="single" w:sz="4" w:space="1" w:color="auto"/>
          <w:right w:val="single" w:sz="4" w:space="4" w:color="auto"/>
        </w:pBdr>
        <w:shd w:val="clear" w:color="auto" w:fill="E9F0F8"/>
        <w:spacing w:after="0"/>
      </w:pPr>
      <w:r w:rsidRPr="009301DF">
        <w:t xml:space="preserve">W niektórych okolicznościach zakłady mogą być w stanie uzasadnić stosowanie krytycznych parametrów operacyjnych (np. wyższych stężeń środków przeciwdrobnoustrojowych lub wyższych temperatur obróbki termicznej), które różnią się od tych podanych we wsparciu naukowym lub technicznym. W takich przypadkach zakłady powinny przedstawić uzasadnienie potwierdzające, że wybrane poziomy są co najmniej tak samo skuteczne, jak te określone we wsparciu naukowym lub technicznym. Uzasadnienie to jest konieczne, ponieważ wyższe poziomy krytycznego parametru operacyjnego nie zawsze muszą być równie skuteczne. Na przykład, środki przeciwdrobnoustrojowe mogą być skuteczne tylko w pewnym zakresie stężeń, po którym skuteczność może spaść. Podobnie, wyższe temperatury przetwarzania mogą powodować wysychanie powierzchni produktu przed osiągnięciem odpowiedniego poziomu śmiertelności. Oprócz zapewnienia, że wybrane poziomy są co najmniej tak samo skuteczne, zakłady powinny zagwarantować, że poziomy te są również bezpieczne i odpowiednie </w:t>
      </w:r>
      <w:hyperlink r:id="rId50" w:history="1">
        <w:r w:rsidRPr="009301DF">
          <w:t>(</w:t>
        </w:r>
        <w:r w:rsidRPr="009301DF">
          <w:rPr>
            <w:i/>
            <w:color w:val="0000FF"/>
            <w:u w:val="single"/>
          </w:rPr>
          <w:t>Dyrektywa FS/S 7120.1 Bezpieczne i odpowiednie składniki stosowane w produkcji mięsa</w:t>
        </w:r>
        <w:r w:rsidRPr="009301DF">
          <w:t xml:space="preserve"> </w:t>
        </w:r>
        <w:r w:rsidRPr="009301DF">
          <w:rPr>
            <w:i/>
            <w:color w:val="0000FF"/>
            <w:u w:val="single"/>
          </w:rPr>
          <w:t>i produktów drobiowych</w:t>
        </w:r>
        <w:r w:rsidRPr="009301DF">
          <w:t>)</w:t>
        </w:r>
      </w:hyperlink>
      <w:r w:rsidRPr="009301DF">
        <w:rPr>
          <w:i/>
          <w:color w:val="0000FF"/>
          <w:u w:val="single"/>
        </w:rPr>
        <w:t xml:space="preserve"> </w:t>
      </w:r>
      <w:hyperlink r:id="rId51" w:history="1">
        <w:r w:rsidRPr="009301DF">
          <w:rPr>
            <w:i/>
            <w:color w:val="0000FF"/>
            <w:u w:val="single"/>
          </w:rPr>
          <w:t>i produktów drobiowych (FSIS Directive 7120.1 Safe and Suitable Ingredients Used in the Production of Meat and Poultry Products)</w:t>
        </w:r>
        <w:r w:rsidRPr="009301DF">
          <w:rPr>
            <w:color w:val="0000FF"/>
          </w:rPr>
          <w:t xml:space="preserve"> </w:t>
        </w:r>
      </w:hyperlink>
      <w:r w:rsidRPr="009301DF">
        <w:t>oraz 9 CFR 424.21(c)).</w:t>
      </w:r>
    </w:p>
    <w:p w14:paraId="35997350" w14:textId="77777777" w:rsidR="00632C48" w:rsidRPr="009301DF" w:rsidRDefault="005F6F63" w:rsidP="007C1C8A">
      <w:pPr>
        <w:pStyle w:val="Nagwek10"/>
        <w:framePr w:w="9427" w:h="4088" w:hRule="exact" w:wrap="none" w:vAnchor="page" w:hAnchor="page" w:x="1520" w:y="11136"/>
      </w:pPr>
      <w:bookmarkStart w:id="12" w:name="bookmark22"/>
      <w:r w:rsidRPr="009301DF">
        <w:t>Jaki jest drugi element walidacji systemów HACCP?</w:t>
      </w:r>
      <w:bookmarkEnd w:id="12"/>
    </w:p>
    <w:p w14:paraId="5AE9871F" w14:textId="77777777" w:rsidR="00632C48" w:rsidRPr="009301DF" w:rsidRDefault="005F6F63" w:rsidP="007C1C8A">
      <w:pPr>
        <w:pStyle w:val="Teksttreci0"/>
        <w:framePr w:w="9427" w:h="4088" w:hRule="exact" w:wrap="none" w:vAnchor="page" w:hAnchor="page" w:x="1520" w:y="11136"/>
      </w:pPr>
      <w:r w:rsidRPr="009301DF">
        <w:rPr>
          <w:b/>
          <w:color w:val="76923C"/>
        </w:rPr>
        <w:t>Drugim elementem walidacji systemów HACCP jest wstępna walidacja w</w:t>
      </w:r>
      <w:r w:rsidRPr="009301DF">
        <w:t>, która może obejmować obserwacje w zakładzie, pomiary, wyniki testów mikrobiologicznych lub inne informacje wykazujące, że środki kontroli zapisane w systemie HACCP mogą być stosowane w danym zakładzie w celu osiągnięcia zamierzonego wyniku procesu (61 FR 38806, 38826 (25 lipca 1996 r.)).</w:t>
      </w:r>
    </w:p>
    <w:p w14:paraId="4BF19FE8" w14:textId="73188985" w:rsidR="00632C48" w:rsidRPr="009301DF" w:rsidRDefault="005F6F63" w:rsidP="007C1C8A">
      <w:pPr>
        <w:pStyle w:val="Teksttreci0"/>
        <w:framePr w:w="9427" w:h="4088" w:hRule="exact" w:wrap="none" w:vAnchor="page" w:hAnchor="page" w:x="1520" w:y="11136"/>
        <w:spacing w:after="0"/>
      </w:pPr>
      <w:r w:rsidRPr="009301DF">
        <w:t>FSIS stwierdził w Ostatecznych Zasadach HACCP (</w:t>
      </w:r>
      <w:r w:rsidRPr="009301DF">
        <w:rPr>
          <w:i/>
          <w:iCs/>
        </w:rPr>
        <w:t>HACCP Final Rule</w:t>
      </w:r>
      <w:r w:rsidRPr="009301DF">
        <w:t>), że dane walidacyjne dla każdego systemu HACCP muszą zawierać dane praktyczne lub informacje odzwierciedlające rzeczywiste doświadczenie zakładu we wdrażaniu systemu HACCP. Walidacja musi wykazać nie tylko, że projekt systemu HACCP jest teoretycznie uzasadniony (Element 1), ale także,</w:t>
      </w:r>
      <w:r w:rsidR="008855E1" w:rsidRPr="008855E1">
        <w:t xml:space="preserve"> </w:t>
      </w:r>
      <w:r w:rsidR="008855E1" w:rsidRPr="009301DF">
        <w:t>że zakład może go wdrożyć zgodnie z projektem,</w:t>
      </w:r>
    </w:p>
    <w:p w14:paraId="0F90537D"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8" behindDoc="1" locked="0" layoutInCell="1" allowOverlap="1" wp14:anchorId="7C5C8388" wp14:editId="042F025A">
            <wp:simplePos x="0" y="0"/>
            <wp:positionH relativeFrom="page">
              <wp:posOffset>458470</wp:posOffset>
            </wp:positionH>
            <wp:positionV relativeFrom="page">
              <wp:posOffset>569595</wp:posOffset>
            </wp:positionV>
            <wp:extent cx="7062470" cy="6346190"/>
            <wp:effectExtent l="0" t="0" r="0" b="0"/>
            <wp:wrapNone/>
            <wp:docPr id="17" name="Shape 17"/>
            <wp:cNvGraphicFramePr/>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52"/>
                    <a:stretch/>
                  </pic:blipFill>
                  <pic:spPr>
                    <a:xfrm>
                      <a:off x="0" y="0"/>
                      <a:ext cx="7062470" cy="6346190"/>
                    </a:xfrm>
                    <a:prstGeom prst="rect">
                      <a:avLst/>
                    </a:prstGeom>
                  </pic:spPr>
                </pic:pic>
              </a:graphicData>
            </a:graphic>
          </wp:anchor>
        </w:drawing>
      </w:r>
    </w:p>
    <w:p w14:paraId="2EDF8B79" w14:textId="77777777" w:rsidR="00632C48" w:rsidRPr="009301DF" w:rsidRDefault="00632C48">
      <w:pPr>
        <w:spacing w:line="1" w:lineRule="exact"/>
      </w:pPr>
    </w:p>
    <w:p w14:paraId="50F6691D" w14:textId="57E80903" w:rsidR="00632C48" w:rsidRPr="009301DF" w:rsidRDefault="005F6F63" w:rsidP="007C1C8A">
      <w:pPr>
        <w:pStyle w:val="Teksttreci0"/>
        <w:framePr w:w="9490" w:h="12744" w:hRule="exact" w:wrap="none" w:vAnchor="page" w:hAnchor="page" w:x="1489" w:y="751"/>
      </w:pPr>
      <w:r w:rsidRPr="009301DF">
        <w:t>aby osiągnąć pożądany efekt (Element 2). Aby spełnić drugi element walidacji, zakłady powinny:</w:t>
      </w:r>
    </w:p>
    <w:p w14:paraId="182B544E" w14:textId="43E9653A" w:rsidR="00632C48" w:rsidRPr="009301DF" w:rsidRDefault="005F6F63" w:rsidP="007C1C8A">
      <w:pPr>
        <w:pStyle w:val="Teksttreci0"/>
        <w:framePr w:w="9490" w:h="12744" w:hRule="exact" w:wrap="none" w:vAnchor="page" w:hAnchor="page" w:x="1489" w:y="751"/>
        <w:numPr>
          <w:ilvl w:val="0"/>
          <w:numId w:val="6"/>
        </w:numPr>
        <w:spacing w:after="0"/>
      </w:pPr>
      <w:r w:rsidRPr="009301DF">
        <w:t>Wdrożyć krytyczne parametry operacyjne w rzeczywistym procesie produkcyjnym zgodnym z parametrami wsparcia naukowego;</w:t>
      </w:r>
    </w:p>
    <w:p w14:paraId="514DF4D9" w14:textId="6BDD28E0" w:rsidR="00632C48" w:rsidRPr="009301DF" w:rsidRDefault="005F6F63" w:rsidP="007C1C8A">
      <w:pPr>
        <w:pStyle w:val="Teksttreci0"/>
        <w:framePr w:w="9490" w:h="12744" w:hRule="exact" w:wrap="none" w:vAnchor="page" w:hAnchor="page" w:x="1489" w:y="751"/>
        <w:numPr>
          <w:ilvl w:val="0"/>
          <w:numId w:val="6"/>
        </w:numPr>
        <w:spacing w:after="0"/>
      </w:pPr>
      <w:r w:rsidRPr="009301DF">
        <w:t>Zidentyfikować co najmniej jeden produkt z każdej kategorii HACCP, dla którego należy zebrać dane walidacyjne w zakładzie;</w:t>
      </w:r>
    </w:p>
    <w:p w14:paraId="36B711BC" w14:textId="1E760C2B" w:rsidR="00632C48" w:rsidRPr="009301DF" w:rsidRDefault="005F6F63" w:rsidP="007C1C8A">
      <w:pPr>
        <w:pStyle w:val="Teksttreci0"/>
        <w:framePr w:w="9490" w:h="12744" w:hRule="exact" w:wrap="none" w:vAnchor="page" w:hAnchor="page" w:x="1489" w:y="751"/>
        <w:numPr>
          <w:ilvl w:val="0"/>
          <w:numId w:val="6"/>
        </w:numPr>
        <w:spacing w:after="0"/>
      </w:pPr>
      <w:r w:rsidRPr="009301DF">
        <w:t>Zebrać dane w zakładzie wykazujące skuteczność wdrożenia krytycznych parametrów operacyjnych dla co najmniej jednego produktu z każdej kategorii HACCP; oraz</w:t>
      </w:r>
    </w:p>
    <w:p w14:paraId="2830182A" w14:textId="44F24370" w:rsidR="00632C48" w:rsidRPr="009301DF" w:rsidRDefault="005F6F63" w:rsidP="007C1C8A">
      <w:pPr>
        <w:pStyle w:val="Teksttreci0"/>
        <w:framePr w:w="9490" w:h="12744" w:hRule="exact" w:wrap="none" w:vAnchor="page" w:hAnchor="page" w:x="1489" w:y="751"/>
        <w:numPr>
          <w:ilvl w:val="0"/>
          <w:numId w:val="6"/>
        </w:numPr>
      </w:pPr>
      <w:r w:rsidRPr="009301DF">
        <w:t xml:space="preserve">Przeprowadzić </w:t>
      </w:r>
      <w:r w:rsidR="000B6ED1" w:rsidRPr="009301DF">
        <w:t>analizę</w:t>
      </w:r>
      <w:r w:rsidRPr="009301DF">
        <w:t xml:space="preserve"> danych celem ustalenia, czy krytyczne parametry operacyjne są skutecznie wdrażane.</w:t>
      </w:r>
    </w:p>
    <w:p w14:paraId="581BC5F1" w14:textId="77777777" w:rsidR="00632C48" w:rsidRPr="009301DF" w:rsidRDefault="005F6F63" w:rsidP="007C1C8A">
      <w:pPr>
        <w:pStyle w:val="Teksttreci20"/>
        <w:framePr w:w="9490" w:h="12744" w:hRule="exact" w:wrap="none" w:vAnchor="page" w:hAnchor="page" w:x="1489" w:y="751"/>
        <w:spacing w:after="300"/>
      </w:pPr>
      <w:r w:rsidRPr="009301DF">
        <w:t>Po zidentyfikowaniu krytycznych parametrów operacyjnych, w jaki sposób należy je wdrożyć w rzeczywistym procesie?</w:t>
      </w:r>
    </w:p>
    <w:p w14:paraId="3C85A1B7" w14:textId="77777777" w:rsidR="00632C48" w:rsidRPr="009301DF" w:rsidRDefault="005F6F63" w:rsidP="007C1C8A">
      <w:pPr>
        <w:pStyle w:val="Teksttreci0"/>
        <w:framePr w:w="9490" w:h="12744" w:hRule="exact" w:wrap="none" w:vAnchor="page" w:hAnchor="page" w:x="1489" w:y="751"/>
      </w:pPr>
      <w:r w:rsidRPr="009301DF">
        <w:t>Po zidentyfikowaniu krytycznych parametrów operacyjnych, zakład powinien je wdrożyć w rzeczywistym procesie zgodnie ze wsparciem naukowym.</w:t>
      </w:r>
    </w:p>
    <w:p w14:paraId="6D99CA49" w14:textId="77777777" w:rsidR="00632C48" w:rsidRPr="009301DF" w:rsidRDefault="005F6F63" w:rsidP="007C1C8A">
      <w:pPr>
        <w:pStyle w:val="Teksttreci0"/>
        <w:framePr w:w="9490" w:h="12744" w:hRule="exact" w:wrap="none" w:vAnchor="page" w:hAnchor="page" w:x="1489" w:y="751"/>
      </w:pPr>
      <w:r w:rsidRPr="009301DF">
        <w:rPr>
          <w:b/>
          <w:i/>
        </w:rPr>
        <w:t>Jeśli zakład wykorzystuje wsparcie naukowe jako wsparcie dla opracowania KPK i ich limitów krytycznych (9 CFR 417.5(a)(2)) w celu zapobiegania, ograniczania lub eliminowania zagrożenia zidentyfikowanego jako racjonalnie prawdopodobne (reasonably likely to occur - RLTO), zakład powinien włączyć wszystkie krytyczne parametry operacyjne do limitów krytycznych KPK.</w:t>
      </w:r>
      <w:r w:rsidRPr="009301DF">
        <w:t xml:space="preserve"> Zakład może jednak ustalić, na podstawie swoich decyzji, że niektóre z parametrów mogą być monitorowane na bieżąco w ramach programu warunków wstępnych. Zakład może również ustalić, że musi jedynie zapewnić wdrożenie niektórych krytycznych parametrów operacyjnych zgodnie ze wsparciem w okresie wstępnej walidacji (np. konfiguracja przestrzenna, typ sprzętu w zakresie, w jakim wpływa on na inne parametry lub recepturę składnika, pod warunkiem, że nie ulegnie ona zmianie). Parametry te powinny zostać uwzględnione w dokumencie decyzyjnym, ale nie muszą być monitorowane po 90 dniach wstępnej walidacji, chyba że nastąpiła zmiana.</w:t>
      </w:r>
    </w:p>
    <w:p w14:paraId="3FF2466F" w14:textId="77777777" w:rsidR="00632C48" w:rsidRPr="009301DF" w:rsidRDefault="005F6F63" w:rsidP="007C1C8A">
      <w:pPr>
        <w:pStyle w:val="Teksttreci0"/>
        <w:framePr w:w="9490" w:h="12744" w:hRule="exact" w:wrap="none" w:vAnchor="page" w:hAnchor="page" w:x="1489" w:y="751"/>
        <w:spacing w:after="0"/>
      </w:pPr>
      <w:r w:rsidRPr="009301DF">
        <w:rPr>
          <w:b/>
          <w:bCs/>
          <w:i/>
          <w:iCs/>
        </w:rPr>
        <w:t>Jeśli zakład wykorzystuje wsparcie naukowe jako wsparcie dla decyzji, że wystąpienie zagrożenia nie jest racjonalnie prawdopodobne (9 CFR 417.5(a)(1), ponieważ wdrożenie programu warunków wstępnych zapobiega warunkom, które sprawiają, że potencjalne zagrożenie jest prawdopodobne, wówczas wszystkie krytyczne parametry operacyjne powinny zostać włączone do programu warunków wstępnych.</w:t>
      </w:r>
      <w:r w:rsidRPr="009301DF">
        <w:t xml:space="preserve"> Zakład może również ustalić, że musi jedynie zapewnić wdrożenie niektórych krytycznych parametrów operacyjnych zgodnie ze wsparciem w początkowym okresie walidacji (np. konfiguracja przestrzenna, typ sprzętu w zakresie, w jakim wpływa on na inne parametry lub recepturę składnika, pod warunkiem, że nie ulegnie ona zmianie).</w:t>
      </w:r>
    </w:p>
    <w:p w14:paraId="4C84EA2A"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22181EEF" w14:textId="77777777" w:rsidR="00632C48" w:rsidRPr="009301DF" w:rsidRDefault="00632C48">
      <w:pPr>
        <w:spacing w:line="1" w:lineRule="exact"/>
      </w:pPr>
    </w:p>
    <w:p w14:paraId="126769DA" w14:textId="77777777" w:rsidR="00632C48" w:rsidRPr="009301DF" w:rsidRDefault="005F6F63" w:rsidP="007C1C8A">
      <w:pPr>
        <w:pStyle w:val="Teksttreci20"/>
        <w:framePr w:w="9490" w:h="13711" w:hRule="exact" w:wrap="none" w:vAnchor="page" w:hAnchor="page" w:x="1489" w:y="849"/>
      </w:pPr>
      <w:r w:rsidRPr="009301DF">
        <w:t>Jakie rodzaje danych powinny gromadzić zakłady podczas początkowego okresu walidacji?</w:t>
      </w:r>
    </w:p>
    <w:p w14:paraId="24549E6C" w14:textId="54B5AC30" w:rsidR="00632C48" w:rsidRPr="009301DF" w:rsidRDefault="005F6F63" w:rsidP="007C1C8A">
      <w:pPr>
        <w:pStyle w:val="Teksttreci0"/>
        <w:framePr w:w="9490" w:h="13711" w:hRule="exact" w:wrap="none" w:vAnchor="page" w:hAnchor="page" w:x="1489" w:y="849"/>
      </w:pPr>
      <w:r w:rsidRPr="009301DF">
        <w:t xml:space="preserve">Często zakłady włączają działania interwencyjne do swoich procesów celem obniżenia poziomu niektórych patogenów oraz wykorzystują opublikowane artykuły naukowe jako wsparcie naukowe przy projektowaniu działań interwencyjnych (zob. omówienie pierwszej części walidacji powyżej). </w:t>
      </w:r>
      <w:r w:rsidR="000B6ED1" w:rsidRPr="009301DF">
        <w:t>Zakłady</w:t>
      </w:r>
      <w:r w:rsidRPr="009301DF">
        <w:t xml:space="preserve"> mogą wdrożyć takie działania interwencyjne </w:t>
      </w:r>
      <w:r w:rsidRPr="009301DF">
        <w:rPr>
          <w:b/>
          <w:bCs/>
        </w:rPr>
        <w:t>zgodnie ze</w:t>
      </w:r>
      <w:r w:rsidRPr="009301DF">
        <w:t xml:space="preserve"> wsparciem naukowym lub dokonać modyfikacji krytycznych parametrów operacyjnych, które mogą mieć wpływ na skuteczność działań interwencyjnych. Wdrożenie działań interwencyjnych zgodnych ze wsparciem naukowym oznacza, że zmiany między krytycznymi parametrami operacyjnymi stosowanymi we wsparciu naukowym a tymi stosowanymi w rzeczywistym procesie nie wpłyną na skuteczność danego działania interwencyjnego lub zabiegu. W zależności od sposobu, w jaki zakład wdraża krytyczne parametry operacyjne dla działania interwencyjnego oraz rodzaju zastosowanego wsparcia, należy zebrać różne dane podczas początkowego okresu walidacji w zakładzie. Poniżej opisano dwa scenariusze:</w:t>
      </w:r>
    </w:p>
    <w:p w14:paraId="5D4E60FC" w14:textId="77777777" w:rsidR="00632C48" w:rsidRPr="009301DF" w:rsidRDefault="005F6F63" w:rsidP="007C1C8A">
      <w:pPr>
        <w:pStyle w:val="Teksttreci0"/>
        <w:framePr w:w="9490" w:h="13711" w:hRule="exact" w:wrap="none" w:vAnchor="page" w:hAnchor="page" w:x="1489" w:y="849"/>
      </w:pPr>
      <w:r w:rsidRPr="009301DF">
        <w:t xml:space="preserve">Scenariusz 1 - W przypadkach, gdy proces w zakładzie </w:t>
      </w:r>
      <w:r w:rsidRPr="009301DF">
        <w:rPr>
          <w:b/>
          <w:bCs/>
        </w:rPr>
        <w:t xml:space="preserve">jest wdrażany </w:t>
      </w:r>
      <w:r w:rsidRPr="009301DF">
        <w:rPr>
          <w:b/>
          <w:bCs/>
          <w:u w:val="single"/>
        </w:rPr>
        <w:t>zgodnie z</w:t>
      </w:r>
      <w:r w:rsidRPr="009301DF">
        <w:t xml:space="preserve"> krytycznymi parametrami operacyjnymi opisanymi we wsparciu naukowym </w:t>
      </w:r>
      <w:r w:rsidRPr="009301DF">
        <w:rPr>
          <w:b/>
          <w:bCs/>
        </w:rPr>
        <w:t>i gdy wykorzystane wsparcie naukowe zawiera dane mikrobiologiczne</w:t>
      </w:r>
      <w:r w:rsidRPr="009301DF">
        <w:t xml:space="preserve"> określające poziom redukcji patogenów osiągnięty dzięki strategii działań interwencyjnych dla docelowego patogenu zidentyfikowanego w analizie zagrożeń, aby spełnić drugi element walidacji, zakład powinien:</w:t>
      </w:r>
    </w:p>
    <w:p w14:paraId="22EB95E4" w14:textId="48898779" w:rsidR="00632C48" w:rsidRPr="009301DF" w:rsidRDefault="005F6F63" w:rsidP="007C1C8A">
      <w:pPr>
        <w:pStyle w:val="Teksttreci0"/>
        <w:framePr w:w="9490" w:h="13711" w:hRule="exact" w:wrap="none" w:vAnchor="page" w:hAnchor="page" w:x="1489" w:y="849"/>
        <w:numPr>
          <w:ilvl w:val="2"/>
          <w:numId w:val="15"/>
        </w:numPr>
        <w:spacing w:after="0"/>
        <w:ind w:hanging="459"/>
      </w:pPr>
      <w:r w:rsidRPr="009301DF">
        <w:t>zidentyfikować krytyczne parametry operacyjne we wsparciu naukowym, ORAZ</w:t>
      </w:r>
    </w:p>
    <w:p w14:paraId="42E20659" w14:textId="3E2367B9" w:rsidR="00632C48" w:rsidRPr="009301DF" w:rsidRDefault="005F6F63" w:rsidP="007C1C8A">
      <w:pPr>
        <w:pStyle w:val="Teksttreci0"/>
        <w:framePr w:w="9490" w:h="13711" w:hRule="exact" w:wrap="none" w:vAnchor="page" w:hAnchor="page" w:x="1489" w:y="849"/>
        <w:numPr>
          <w:ilvl w:val="2"/>
          <w:numId w:val="15"/>
        </w:numPr>
        <w:spacing w:after="0"/>
        <w:ind w:hanging="459"/>
      </w:pPr>
      <w:r w:rsidRPr="009301DF">
        <w:t>wdrożyć te krytyczne parametry operacyjne w procesie produkcyjnym zakładu zgodnie ze wsparciem naukowym, ORAZ</w:t>
      </w:r>
    </w:p>
    <w:p w14:paraId="31CF78D7" w14:textId="10107D3E" w:rsidR="00632C48" w:rsidRPr="009301DF" w:rsidRDefault="005F6F63" w:rsidP="007C1C8A">
      <w:pPr>
        <w:pStyle w:val="Teksttreci0"/>
        <w:framePr w:w="9490" w:h="13711" w:hRule="exact" w:wrap="none" w:vAnchor="page" w:hAnchor="page" w:x="1489" w:y="849"/>
        <w:numPr>
          <w:ilvl w:val="2"/>
          <w:numId w:val="15"/>
        </w:numPr>
        <w:tabs>
          <w:tab w:val="left" w:pos="2197"/>
        </w:tabs>
        <w:spacing w:after="0" w:line="293" w:lineRule="auto"/>
        <w:ind w:hanging="459"/>
      </w:pPr>
      <w:r w:rsidRPr="009301DF">
        <w:t>zebrać dane w zakładzie, które wykazują, że krytyczne parametry operacyjne są spełniane (np. dane dotyczące wymiernych charakterystyk krytycznych parametrów operacyjnych, takich jak ciśnienie, temperatura i stężenie).</w:t>
      </w:r>
    </w:p>
    <w:p w14:paraId="7F5B9B41" w14:textId="77777777" w:rsidR="00632C48" w:rsidRPr="009301DF" w:rsidRDefault="005F6F63" w:rsidP="007C1C8A">
      <w:pPr>
        <w:pStyle w:val="Teksttreci0"/>
        <w:framePr w:w="9490" w:h="13711" w:hRule="exact" w:wrap="none" w:vAnchor="page" w:hAnchor="page" w:x="1489" w:y="849"/>
      </w:pPr>
      <w:r w:rsidRPr="009301DF">
        <w:t xml:space="preserve">W związku z tym, jeśli zakład wdraża rzeczywisty proces </w:t>
      </w:r>
      <w:r w:rsidRPr="009301DF">
        <w:rPr>
          <w:u w:val="single"/>
        </w:rPr>
        <w:t>zgodny z</w:t>
      </w:r>
      <w:r w:rsidRPr="009301DF">
        <w:t xml:space="preserve"> krytycznymi parametrami operacyjnymi zawartymi we wsparciu naukowym, to powinien gromadzić dane w wykazujące, że wszystkie krytyczne parametry operacyjne mogą być spełnione, a dane mikrobiologiczne w zakładzie nie będą potrzebne. Na przykład, jeśli wsparcie naukowe dla działania interwencyjnego mycia tusz obejmuje krytyczne parametry ciśnienia wody w dyszy, temperaturę wody w punkcie kontaktu z tuszą, pokrycie całej tuszy oraz czas kontaktu wody z tuszą, zakład powinien zmierzyć i zebrać dane dotyczące tego, czy parametry te są osiągane. Temperatura wody mierzona w zbiorniku lub na dyszy może nie być rzeczywistą temperaturą wody w punkcie kontaktu z tuszą, dlatego tak ważne jest odpowiednie zaprojektowanie procedur pomiarowych.</w:t>
      </w:r>
    </w:p>
    <w:p w14:paraId="786013EE" w14:textId="6122AB6F" w:rsidR="00632C48" w:rsidRPr="009301DF" w:rsidRDefault="005F6F63" w:rsidP="007C1C8A">
      <w:pPr>
        <w:pStyle w:val="Teksttreci0"/>
        <w:framePr w:w="9490" w:h="13711" w:hRule="exact" w:wrap="none" w:vAnchor="page" w:hAnchor="page" w:x="1489" w:y="849"/>
        <w:spacing w:after="0"/>
      </w:pPr>
      <w:r w:rsidRPr="009301DF">
        <w:t xml:space="preserve">Scenariusz 2 - W przypadkach, w których proces zakładu </w:t>
      </w:r>
      <w:r w:rsidRPr="009301DF">
        <w:rPr>
          <w:b/>
          <w:bCs/>
          <w:u w:val="single"/>
        </w:rPr>
        <w:t>nie jest realizowany w sposób zgodny z</w:t>
      </w:r>
      <w:r w:rsidRPr="009301DF">
        <w:t xml:space="preserve"> krytycznymi parametrami operacyjnymi opisanymi we wsparciu naukowym, bez uzasadnienia,</w:t>
      </w:r>
      <w:r w:rsidR="008855E1" w:rsidRPr="008855E1">
        <w:t xml:space="preserve"> </w:t>
      </w:r>
      <w:r w:rsidR="008855E1" w:rsidRPr="009301DF">
        <w:t xml:space="preserve">lub gdy </w:t>
      </w:r>
      <w:r w:rsidR="008855E1" w:rsidRPr="008855E1">
        <w:rPr>
          <w:b/>
          <w:bCs/>
        </w:rPr>
        <w:t>wykorzystane wsparcie naukowe nie zawiera</w:t>
      </w:r>
    </w:p>
    <w:p w14:paraId="18E99377"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53CAF566" w14:textId="77777777" w:rsidR="00632C48" w:rsidRPr="009301DF" w:rsidRDefault="00632C48">
      <w:pPr>
        <w:spacing w:line="1" w:lineRule="exact"/>
      </w:pPr>
    </w:p>
    <w:p w14:paraId="2C353A99" w14:textId="4747C7B7" w:rsidR="00632C48" w:rsidRPr="008855E1" w:rsidRDefault="005F6F63" w:rsidP="007C1C8A">
      <w:pPr>
        <w:pStyle w:val="Teksttreci0"/>
        <w:framePr w:w="9389" w:h="14469" w:hRule="exact" w:wrap="none" w:vAnchor="page" w:hAnchor="page" w:x="1539" w:y="841"/>
      </w:pPr>
      <w:r w:rsidRPr="008855E1">
        <w:rPr>
          <w:b/>
          <w:bCs/>
        </w:rPr>
        <w:t>danych mikrobiologicznych</w:t>
      </w:r>
      <w:r w:rsidRPr="008855E1">
        <w:t xml:space="preserve"> określających poziom redukcji patogenów osiągnięty dzięki strategii działań interwencyjnych dla docelowego patogenu zidentyfikowanego w analizie zagrożeń, w celu spełnienia drugiego elementu walidacji zakład powinien:</w:t>
      </w:r>
    </w:p>
    <w:p w14:paraId="1115D2AE" w14:textId="6F58E931" w:rsidR="00632C48" w:rsidRPr="008855E1" w:rsidRDefault="005F6F63" w:rsidP="007C1C8A">
      <w:pPr>
        <w:pStyle w:val="Teksttreci0"/>
        <w:framePr w:w="9389" w:h="14469" w:hRule="exact" w:wrap="none" w:vAnchor="page" w:hAnchor="page" w:x="1539" w:y="841"/>
        <w:numPr>
          <w:ilvl w:val="2"/>
          <w:numId w:val="15"/>
        </w:numPr>
        <w:tabs>
          <w:tab w:val="left" w:pos="2197"/>
        </w:tabs>
        <w:spacing w:after="0" w:line="293" w:lineRule="auto"/>
        <w:ind w:hanging="459"/>
      </w:pPr>
      <w:r w:rsidRPr="008855E1">
        <w:t>zidentyfikować krytyczne parametry operacyjne w rzeczywistym procesie (ponieważ zostały one zmodyfikowane w oparciu o wsparcie naukowe, bez uzasadnienia, lub wsparcie naukowe nie zawiera danych mikrobiologicznych), ORAZ</w:t>
      </w:r>
    </w:p>
    <w:p w14:paraId="58A6A876" w14:textId="526861BF" w:rsidR="00632C48" w:rsidRPr="008855E1" w:rsidRDefault="005F6F63" w:rsidP="007C1C8A">
      <w:pPr>
        <w:pStyle w:val="Teksttreci0"/>
        <w:framePr w:w="9389" w:h="14469" w:hRule="exact" w:wrap="none" w:vAnchor="page" w:hAnchor="page" w:x="1539" w:y="841"/>
        <w:numPr>
          <w:ilvl w:val="2"/>
          <w:numId w:val="15"/>
        </w:numPr>
        <w:tabs>
          <w:tab w:val="left" w:pos="2197"/>
        </w:tabs>
        <w:spacing w:after="0" w:line="293" w:lineRule="auto"/>
        <w:ind w:hanging="459"/>
      </w:pPr>
      <w:r w:rsidRPr="008855E1">
        <w:t>zebrać dane mikrobiologiczne w zakładzie, które wykazują skuteczność działania interwencyjnego w rzeczywistych warunkach zakładu lub zidentyfikować wsparcie naukowe z danymi mikrobiologicznymi wykazującymi skuteczność tych krytycznych parametrów operacyjnych, ORAZ</w:t>
      </w:r>
    </w:p>
    <w:p w14:paraId="79BBC826" w14:textId="0C3FEA85" w:rsidR="00632C48" w:rsidRPr="008855E1" w:rsidRDefault="005F6F63" w:rsidP="007C1C8A">
      <w:pPr>
        <w:pStyle w:val="Teksttreci0"/>
        <w:framePr w:w="9389" w:h="14469" w:hRule="exact" w:wrap="none" w:vAnchor="page" w:hAnchor="page" w:x="1539" w:y="841"/>
        <w:numPr>
          <w:ilvl w:val="2"/>
          <w:numId w:val="15"/>
        </w:numPr>
        <w:tabs>
          <w:tab w:val="left" w:pos="2187"/>
        </w:tabs>
        <w:spacing w:after="0" w:line="293" w:lineRule="auto"/>
        <w:ind w:left="2240" w:hanging="459"/>
      </w:pPr>
      <w:r w:rsidRPr="008855E1">
        <w:t>zebrać dane w zakładzie, które wykażą, że zmodyfikowane krytyczne parametry operacyjne są spełnione.</w:t>
      </w:r>
    </w:p>
    <w:p w14:paraId="33FA49AC" w14:textId="77777777" w:rsidR="00632C48" w:rsidRPr="008855E1" w:rsidRDefault="005F6F63" w:rsidP="007C1C8A">
      <w:pPr>
        <w:pStyle w:val="Teksttreci0"/>
        <w:framePr w:w="9389" w:h="14469" w:hRule="exact" w:wrap="none" w:vAnchor="page" w:hAnchor="page" w:x="1539" w:y="841"/>
      </w:pPr>
      <w:r w:rsidRPr="008855E1">
        <w:t>W związku z tym, jeśli zakład wdraża w procesie inne krytyczne parametry operacyjne niż wsparcie naukowe lub jeśli wsparcie naukowe nie zawiera danych mikrobiologicznych, wówczas zakład powinien gromadzić w zakładzie dane wykazujące, że wszystkie wdrożone krytyczne parametry operacyjne mogą zostać spełnione ORAZ gromadzić w zakładzie dane dotyczące walidacji mikrobiologicznej lub porównać wsparcie naukowe z danymi mikrobiologicznymi dotyczącymi skuteczności tych wdrożonych krytycznych parametrów operacyjnych.</w:t>
      </w:r>
    </w:p>
    <w:p w14:paraId="23E92CAB" w14:textId="77777777" w:rsidR="00632C48" w:rsidRPr="008855E1" w:rsidRDefault="005F6F63" w:rsidP="007C1C8A">
      <w:pPr>
        <w:pStyle w:val="Teksttreci0"/>
        <w:framePr w:w="9389" w:h="14469" w:hRule="exact" w:wrap="none" w:vAnchor="page" w:hAnchor="page" w:x="1539" w:y="841"/>
      </w:pPr>
      <w:r w:rsidRPr="008855E1">
        <w:t>Zakład powinien opracować odpowiednie dane zakładowe w ciągu pierwszych 90 dni od wdrożenia nowego systemu HACCP lub za każdym razem, gdy do istniejącego systemu HACCP wprowadzana jest nowa lub zmodyfikowana kontrola zagrożeń dla bezpieczeństwa żywności (np. wdrożona po ponownej ocenie planu HACCP). W ciągu tych 90 dni kalendarzowych, jak to opisano w Ostatecznych Zasadach HACCP, zakład gromadzi niezbędne dane aby wykazać, że krytyczne parametry operacyjne są osiągane. Zasadniczo zakład wielokrotnie testuje adekwatność etapów procesu w systemie HACCP w celu ustalenia, czy system HACCP spełnia zaprojektowane parametry i osiąga zamierzone wyniki. Te dane z zakładu stają się częścią naukowego wsparcia walidacji wraz ze wsparciem naukowym wykorzystanym do zaprojektowania systemu HACCP. Więcej informacji można znaleźć w sekcji dotyczącej dokumentacji, dalej. Niepodjęcie tych kroków może budzić wątpliwości co do tego, czy system HACCP został odpowiednio zwalidowany.</w:t>
      </w:r>
    </w:p>
    <w:p w14:paraId="43636626" w14:textId="77777777" w:rsidR="00632C48" w:rsidRPr="008855E1" w:rsidRDefault="005F6F63" w:rsidP="007C1C8A">
      <w:pPr>
        <w:pStyle w:val="Teksttreci0"/>
        <w:framePr w:w="9389" w:h="14469" w:hRule="exact" w:wrap="none" w:vAnchor="page" w:hAnchor="page" w:x="1539" w:y="841"/>
        <w:spacing w:after="0"/>
      </w:pPr>
      <w:r w:rsidRPr="008855E1">
        <w:t xml:space="preserve">Oprócz gromadzenia w zakładzie opisanych danych, bardzo ważne jest, aby zakład </w:t>
      </w:r>
      <w:r w:rsidRPr="008855E1">
        <w:rPr>
          <w:b/>
          <w:bCs/>
        </w:rPr>
        <w:t>przeanalizował dane pod kątem tego, czy krytyczne parametry operacyjne są skutecznie wdrażane</w:t>
      </w:r>
      <w:r w:rsidRPr="008855E1">
        <w:t>. Analiza ta powinna obejmować przegląd zapisów wygenerowanych przez system HACCP w okresie wstępnej walidacji. Zakłady mogą potrzebować współpracy ze statystykiem do przeprowadzenia bardziej dogłębnych analiz statystycznych zebranych w zakładzie danych. Na przykład, zakład może potrzebować współpracy ze statystykiem w celu ustalenia, czy dane z walidacji w zakładzie potwierdzają, że wdraża on krytyczne parametry operacyjne zgodne ze wsparciem naukowym.</w:t>
      </w:r>
    </w:p>
    <w:p w14:paraId="5752AB53" w14:textId="77777777" w:rsidR="00632C48" w:rsidRPr="008855E1" w:rsidRDefault="00632C48">
      <w:pPr>
        <w:spacing w:line="1" w:lineRule="exact"/>
        <w:sectPr w:rsidR="00632C48" w:rsidRPr="008855E1">
          <w:pgSz w:w="12485" w:h="16357"/>
          <w:pgMar w:top="360" w:right="360" w:bottom="360" w:left="360" w:header="0" w:footer="3" w:gutter="0"/>
          <w:cols w:space="720"/>
          <w:noEndnote/>
          <w:docGrid w:linePitch="360"/>
        </w:sectPr>
      </w:pPr>
    </w:p>
    <w:p w14:paraId="19838218" w14:textId="77777777" w:rsidR="00632C48" w:rsidRPr="009301DF" w:rsidRDefault="00632C48">
      <w:pPr>
        <w:spacing w:line="1" w:lineRule="exact"/>
      </w:pPr>
    </w:p>
    <w:p w14:paraId="65229E9F" w14:textId="77777777" w:rsidR="00632C48" w:rsidRPr="009301DF" w:rsidRDefault="005F6F63" w:rsidP="007C1C8A">
      <w:pPr>
        <w:pStyle w:val="Teksttreci0"/>
        <w:framePr w:w="9509" w:h="15091" w:hRule="exact" w:wrap="none" w:vAnchor="page" w:hAnchor="page" w:x="1479" w:y="549"/>
        <w:spacing w:after="260"/>
      </w:pPr>
      <w:r w:rsidRPr="009301DF">
        <w:t>Zakład może również potrzebować przeprowadzenia bardziej dogłębnej analizy, jeśli wdroży krytyczne parametry operacyjne, które różnią się od procesu we wsparciu naukowym, a w rezultacie będzie musiał zebrać w zakładzie dane mikrobiologiczne.</w:t>
      </w:r>
    </w:p>
    <w:p w14:paraId="7C2C13AC" w14:textId="77777777" w:rsidR="00632C48" w:rsidRPr="009301DF" w:rsidRDefault="005F6F63" w:rsidP="007C1C8A">
      <w:pPr>
        <w:pStyle w:val="Teksttreci20"/>
        <w:framePr w:w="9509" w:h="15091" w:hRule="exact" w:wrap="none" w:vAnchor="page" w:hAnchor="page" w:x="1479" w:y="549"/>
        <w:spacing w:after="260"/>
      </w:pPr>
      <w:r w:rsidRPr="009301DF">
        <w:t>Dla jakich rodzajów procesów i produktów zakłady powinny gromadzić w zakładzie dane dotyczące walidacji?</w:t>
      </w:r>
    </w:p>
    <w:p w14:paraId="41FBAC7D" w14:textId="77777777" w:rsidR="00632C48" w:rsidRPr="009301DF" w:rsidRDefault="005F6F63" w:rsidP="007C1C8A">
      <w:pPr>
        <w:pStyle w:val="Teksttreci0"/>
        <w:framePr w:w="9509" w:h="15091" w:hRule="exact" w:wrap="none" w:vAnchor="page" w:hAnchor="page" w:x="1479" w:y="549"/>
        <w:spacing w:after="260"/>
      </w:pPr>
      <w:r w:rsidRPr="009301DF">
        <w:t xml:space="preserve">Zakłady powinny utrzymywać wsparcie naukowe dla wszystkich procesów i produktów; jednakże </w:t>
      </w:r>
      <w:r w:rsidRPr="009301DF">
        <w:rPr>
          <w:u w:val="single"/>
        </w:rPr>
        <w:t>powinny również gromadzić dane wewnątrzzakładowe dla co najmniej jednego produktu z każdej kategorii procesu HACCP</w:t>
      </w:r>
      <w:r w:rsidRPr="009301DF">
        <w:t>. W zależności od kategorii HACCP i produktów, zakłady powinny rozważyć gromadzenie danych zakładowych, w ramach każdej kategorii, dla więcej niż jednego produktu. Celem jest zebranie danych zakładowych dla szerokiej gamy różnych produktów i najgorszych scenariuszy. Zakłady powinny gromadzić dane zakładowe dla wszystkich KPK i programów warunków wstępnych wykorzystywanych do wspierania decyzji w analizie zagrożeń dla co najmniej jednego produktu z każdej wewnątrzzakładowej kategorii HACCP. Zakłady powinny stosować zasady nauki o żywności przy podejmowaniu decyzji, które typy produktów w ramach kategorii HACCP powinny zostać wykorzystane do gromadzenia danych wewnątrzzakładowych. Ponadto zakłady powinny korzystać z dokumentów decyzyjnych w celu opisania, w jaki sposób zespół HACCP zdecydował o wyborze produktu lub rodzajów produktów, które zostaną wykorzystane podczas wstępnej walidacji. Należy wziąć pod uwagę podobieństwa i różnice w gatunkach, procesach, czynnikach wewnętrznych, ryzyku produktu dla zdrowia publicznego i zagrożeniach dla bezpieczeństwa żywności. Niektóre przykłady zasad nauki o żywności, które można wykorzystać do podjęcia decyzji, jaki produkt w ramach danej kategorii HACCP powinien zostać wykorzystany do gromadzenia danych w zakładzie, obejmują:</w:t>
      </w:r>
    </w:p>
    <w:p w14:paraId="6F150CC0" w14:textId="6A656263" w:rsidR="00632C48" w:rsidRPr="009301DF" w:rsidRDefault="005F6F63" w:rsidP="007C1C8A">
      <w:pPr>
        <w:pStyle w:val="Teksttreci0"/>
        <w:framePr w:w="9509" w:h="15091" w:hRule="exact" w:wrap="none" w:vAnchor="page" w:hAnchor="page" w:x="1479" w:y="549"/>
        <w:numPr>
          <w:ilvl w:val="0"/>
          <w:numId w:val="6"/>
        </w:numPr>
        <w:spacing w:after="0"/>
      </w:pPr>
      <w:r w:rsidRPr="009301DF">
        <w:rPr>
          <w:b/>
          <w:i/>
        </w:rPr>
        <w:t>Zawartość tłuszczu:</w:t>
      </w:r>
      <w:r w:rsidRPr="009301DF">
        <w:t xml:space="preserve"> Udokumentowano, że poziom tłuszczu w mięsie wpływa na odporność termiczną bakterii (Juneja et al., 2001). Wraz ze wzrostem poziomu tłuszczu wzrasta odporność bakterii na ciepło. Dlatego produkty mięsne lub drobiowe o wyższej zawartości tłuszczu wymagają dłuższego czasu lub wyższej temperatury, aby osiągnąć taką samą zabójczość w porównaniu z produktami o niższej zawartości tłuszczu.</w:t>
      </w:r>
    </w:p>
    <w:p w14:paraId="15971DAF" w14:textId="1E823900" w:rsidR="00632C48" w:rsidRPr="009301DF" w:rsidRDefault="005F6F63" w:rsidP="007C1C8A">
      <w:pPr>
        <w:pStyle w:val="Teksttreci0"/>
        <w:framePr w:w="9509" w:h="15091" w:hRule="exact" w:wrap="none" w:vAnchor="page" w:hAnchor="page" w:x="1479" w:y="549"/>
        <w:numPr>
          <w:ilvl w:val="1"/>
          <w:numId w:val="17"/>
        </w:numPr>
        <w:spacing w:after="260"/>
      </w:pPr>
      <w:r w:rsidRPr="009301DF">
        <w:t>Jak można wykorzystać to kryterium? Jeśli zakład produkuje kilka w pełni ugotowanych produktów drobiowych, powinien zebrać dane dla produktu o najwyższej zawartości tłuszczu. Podobnie, jeśli zakład produkuje kilka mielonych produktów drobiowych, a niektóre z nich są wytwarzane z mięsa z ud bez skóry, podczas gdy inne są wytwarzane z mięsa z ud bez kości i skóry, zakład powinien zebrać dane walidacyjne dla mielonego produktu wytwarzanego z mięsa z ud bez skóry ze względu na dodatkowy tłuszcz ze skóry.</w:t>
      </w:r>
    </w:p>
    <w:p w14:paraId="615A86D5" w14:textId="786D22EA" w:rsidR="00632C48" w:rsidRPr="009301DF" w:rsidRDefault="005F6F63" w:rsidP="007C1C8A">
      <w:pPr>
        <w:pStyle w:val="Teksttreci0"/>
        <w:framePr w:w="9509" w:h="15091" w:hRule="exact" w:wrap="none" w:vAnchor="page" w:hAnchor="page" w:x="1479" w:y="549"/>
        <w:numPr>
          <w:ilvl w:val="0"/>
          <w:numId w:val="6"/>
        </w:numPr>
        <w:spacing w:after="0"/>
      </w:pPr>
      <w:r w:rsidRPr="009301DF">
        <w:rPr>
          <w:b/>
          <w:i/>
        </w:rPr>
        <w:t>Rozmiar i kształt żywności:</w:t>
      </w:r>
      <w:r w:rsidRPr="009301DF">
        <w:t xml:space="preserve"> Rozmiar i kształt żywności wpływa</w:t>
      </w:r>
      <w:r w:rsidR="00406A61">
        <w:t>ją</w:t>
      </w:r>
      <w:r w:rsidRPr="009301DF">
        <w:t xml:space="preserve"> na penetrację ciepła, szybkość i równomierność podgrzewania. Na przykład produkty o nieregularnych kształtach są poddawane nierównomiernemu ogrzewaniu z powodu różnic w grubości produktu. Ponadto w przypadku grubszych produktów potrzeba więcej czasu, aby ciepło przeniknęło do środka produktu.</w:t>
      </w:r>
    </w:p>
    <w:p w14:paraId="478F438A" w14:textId="0AE251E5" w:rsidR="008855E1" w:rsidRPr="009301DF" w:rsidRDefault="005F6F63" w:rsidP="007C1C8A">
      <w:pPr>
        <w:pStyle w:val="Teksttreci0"/>
        <w:framePr w:w="9509" w:h="15091" w:hRule="exact" w:wrap="none" w:vAnchor="page" w:hAnchor="page" w:x="1479" w:y="549"/>
        <w:numPr>
          <w:ilvl w:val="1"/>
          <w:numId w:val="17"/>
        </w:numPr>
        <w:spacing w:after="0"/>
      </w:pPr>
      <w:r w:rsidRPr="009301DF">
        <w:t>Jak można wykorzystać to kryterium? Jeśli zakład produkuje kilka w pełni ugotowanych delikatesowych produktów mięsnych o różnej grubości, zakład</w:t>
      </w:r>
      <w:r w:rsidR="008855E1">
        <w:t xml:space="preserve"> </w:t>
      </w:r>
      <w:r w:rsidR="008855E1" w:rsidRPr="009301DF">
        <w:t>powinien zebrać dane dotyczące</w:t>
      </w:r>
      <w:r w:rsidR="008855E1">
        <w:t xml:space="preserve"> </w:t>
      </w:r>
      <w:r w:rsidR="008855E1" w:rsidRPr="009301DF">
        <w:t>najgrubszego produktu, ponieważ penetracja ciepła ma kluczowe znaczenie.</w:t>
      </w:r>
    </w:p>
    <w:p w14:paraId="61527D96"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34A8DF46" w14:textId="77777777" w:rsidR="00632C48" w:rsidRPr="009301DF" w:rsidRDefault="00632C48">
      <w:pPr>
        <w:spacing w:line="1" w:lineRule="exact"/>
      </w:pPr>
    </w:p>
    <w:p w14:paraId="501D5615" w14:textId="020D5934" w:rsidR="00632C48" w:rsidRPr="009301DF" w:rsidRDefault="005F6F63" w:rsidP="007C1C8A">
      <w:pPr>
        <w:pStyle w:val="Teksttreci0"/>
        <w:framePr w:w="10103" w:h="15466" w:hRule="exact" w:wrap="none" w:vAnchor="page" w:hAnchor="page" w:x="1149" w:y="481"/>
        <w:numPr>
          <w:ilvl w:val="0"/>
          <w:numId w:val="6"/>
        </w:numPr>
        <w:spacing w:after="0"/>
      </w:pPr>
      <w:r w:rsidRPr="009301DF">
        <w:rPr>
          <w:b/>
          <w:i/>
        </w:rPr>
        <w:t>Liczba i rodzaj etapów przetwarzania lub składników:</w:t>
      </w:r>
      <w:r w:rsidRPr="009301DF">
        <w:t xml:space="preserve"> Niektóre etapy przetwarzania, takie jak krojenie produktu gotowego do spożycia, są znane jako potencjalne źródła zanieczyszczenia krzyżowego. Ponadto wiadomo, że niektóre składniki, takie jak przyprawy, mogą wprowadzać zanieczyszczenia (biologiczne, chemiczne lub fizyczne). W związku z tym zakłady powinny rozważyć, czy niektóre produkty w ramach kategorii HACCP są poddawane dodatkowym etapom przetwarzania lub zawierają dodatkowe składniki, które mogą wprowadzać zanieczyszczenia i powinny gromadzić dane dotyczące walidacji w zakładzie dla danego produktu.</w:t>
      </w:r>
    </w:p>
    <w:p w14:paraId="107C421E" w14:textId="15EAAFCF" w:rsidR="00632C48" w:rsidRPr="009301DF" w:rsidRDefault="005F6F63" w:rsidP="007C1C8A">
      <w:pPr>
        <w:pStyle w:val="Teksttreci0"/>
        <w:framePr w:w="10103" w:h="15466" w:hRule="exact" w:wrap="none" w:vAnchor="page" w:hAnchor="page" w:x="1149" w:y="481"/>
        <w:numPr>
          <w:ilvl w:val="1"/>
          <w:numId w:val="17"/>
        </w:numPr>
        <w:spacing w:after="260"/>
      </w:pPr>
      <w:r w:rsidRPr="009301DF">
        <w:t>Jak można wykorzystać to kryterium? W jaki sposób można zastosować to kryterium: Jeśli zakład produkuje obrzynki mięsa wołowego i wykorzystuje je do produkcji mielonej wołowiny i pasztecików, powinien gromadzić dane walidacyjne dla procesu produkcji pasztecików, ponieważ proces formowania pasztecików wprowadza dodatkowy etap, który może stanowić okazję do zanieczyszczenia.</w:t>
      </w:r>
    </w:p>
    <w:p w14:paraId="0A012E40" w14:textId="77777777" w:rsidR="00632C48" w:rsidRPr="009301DF" w:rsidRDefault="005F6F63" w:rsidP="007C1C8A">
      <w:pPr>
        <w:pStyle w:val="Teksttreci0"/>
        <w:framePr w:w="10103" w:h="15466" w:hRule="exact" w:wrap="none" w:vAnchor="page" w:hAnchor="page" w:x="1149" w:y="481"/>
        <w:spacing w:after="0"/>
        <w:ind w:left="800" w:hanging="360"/>
      </w:pPr>
      <w:r w:rsidRPr="009301DF">
        <w:rPr>
          <w:sz w:val="22"/>
        </w:rPr>
        <w:t xml:space="preserve">• </w:t>
      </w:r>
      <w:r w:rsidRPr="009301DF">
        <w:rPr>
          <w:b/>
          <w:i/>
        </w:rPr>
        <w:t>Gatunek zwierząt:</w:t>
      </w:r>
      <w:r w:rsidRPr="009301DF">
        <w:t xml:space="preserve"> Badania wykazały, że istnieje różnica w odporności bakterii w produktach pochodzących od różnych gatunków zwierząt. Dlatego zakłady powinny rozważyć gromadzenie danych oddzielnie dla każdego gatunku zwierząt poddanych ubojowi lub przetworzeniu w ramach kategorii HACCP.</w:t>
      </w:r>
    </w:p>
    <w:p w14:paraId="6A580D50" w14:textId="279117C4" w:rsidR="00632C48" w:rsidRPr="009301DF" w:rsidRDefault="005F6F63" w:rsidP="007C1C8A">
      <w:pPr>
        <w:pStyle w:val="Teksttreci0"/>
        <w:framePr w:w="10103" w:h="15466" w:hRule="exact" w:wrap="none" w:vAnchor="page" w:hAnchor="page" w:x="1149" w:y="481"/>
        <w:numPr>
          <w:ilvl w:val="1"/>
          <w:numId w:val="19"/>
        </w:numPr>
        <w:spacing w:after="260"/>
      </w:pPr>
      <w:r w:rsidRPr="009301DF">
        <w:t>Jak można wykorzystać to kryterium? Jeśli zakład dokonuje uboju świń i bydła w ramach jednej kategorii HACCP, dane w zakładzie powinny być gromadzone dla obu gatunków, ponieważ proces uboju i zagrożenia związane z każdym z nich są zasadniczo różne.</w:t>
      </w:r>
    </w:p>
    <w:p w14:paraId="4F039B84" w14:textId="2AAE5DB5" w:rsidR="00632C48" w:rsidRPr="009301DF" w:rsidRDefault="005F6F63" w:rsidP="007C1C8A">
      <w:pPr>
        <w:pStyle w:val="Teksttreci0"/>
        <w:framePr w:w="10103" w:h="15466" w:hRule="exact" w:wrap="none" w:vAnchor="page" w:hAnchor="page" w:x="1149" w:y="481"/>
        <w:numPr>
          <w:ilvl w:val="0"/>
          <w:numId w:val="6"/>
        </w:numPr>
        <w:spacing w:after="0"/>
      </w:pPr>
      <w:r w:rsidRPr="009301DF">
        <w:rPr>
          <w:b/>
          <w:i/>
        </w:rPr>
        <w:t>Ryzyko dla zdrowia publicznego:</w:t>
      </w:r>
      <w:r w:rsidRPr="009301DF">
        <w:t xml:space="preserve"> Zakłady powinny wziąć pod uwagę wcześniejsze ogniska choroby przy wyborze produktu do gromadzenia danych w zakładzie w ramach kategorii HACCP.</w:t>
      </w:r>
    </w:p>
    <w:p w14:paraId="5871EE8B" w14:textId="12E64927" w:rsidR="00632C48" w:rsidRPr="009301DF" w:rsidRDefault="005F6F63" w:rsidP="007C1C8A">
      <w:pPr>
        <w:pStyle w:val="Teksttreci0"/>
        <w:framePr w:w="10103" w:h="15466" w:hRule="exact" w:wrap="none" w:vAnchor="page" w:hAnchor="page" w:x="1149" w:y="481"/>
        <w:numPr>
          <w:ilvl w:val="1"/>
          <w:numId w:val="19"/>
        </w:numPr>
        <w:spacing w:after="260"/>
      </w:pPr>
      <w:r w:rsidRPr="009301DF">
        <w:t>Jak można wykorzystać to kryterium? W jaki sposób można zastosować to kryterium: Jeśli zakład produkuje kilka rodzajów w pełni ugotowanych produktów gotowych do spożycia, a jednym z produktów jest bolonia libańska, czyli peklowana, wędzona i sfermentowana półwytrawna kiełbasa wołowa, dane powinny być gromadzone dla bolonii libańskiej, ponieważ była ona związana z wybuchem choroby.</w:t>
      </w:r>
    </w:p>
    <w:p w14:paraId="25D9314D" w14:textId="77777777" w:rsidR="00632C48" w:rsidRPr="009301DF" w:rsidRDefault="005F6F63" w:rsidP="007C1C8A">
      <w:pPr>
        <w:pStyle w:val="Teksttreci0"/>
        <w:framePr w:w="10103" w:h="15466" w:hRule="exact" w:wrap="none" w:vAnchor="page" w:hAnchor="page" w:x="1149" w:y="481"/>
        <w:spacing w:after="0"/>
      </w:pPr>
      <w:r w:rsidRPr="009301DF">
        <w:t>W niektórych przypadkach zakład może wytwarzać produkty, z którymi wiąże się ryzyko o takim samym prawdopodobieństwie. W takich przypadkach FSIS zaleca, aby zakłady wybrały produkt o największej wielkości produkcji, ponieważ produkt ten będzie najbardziej narażony na ryzyko.</w:t>
      </w:r>
    </w:p>
    <w:p w14:paraId="1845128B" w14:textId="076EE59A" w:rsidR="00632C48" w:rsidRPr="009301DF" w:rsidRDefault="005F6F63" w:rsidP="007C1C8A">
      <w:pPr>
        <w:pStyle w:val="Teksttreci0"/>
        <w:framePr w:w="10103" w:h="15466" w:hRule="exact" w:wrap="none" w:vAnchor="page" w:hAnchor="page" w:x="1149" w:y="481"/>
        <w:numPr>
          <w:ilvl w:val="1"/>
          <w:numId w:val="19"/>
        </w:numPr>
        <w:spacing w:after="260"/>
      </w:pPr>
      <w:r w:rsidRPr="009301DF">
        <w:t>Jak można wykorzystać to kryterium? W jaki sposób można zastosować to kryterium: Jeśli zakład produkuje kilka rodzajów w pełni ugotowanych kiełbas, a jedyną różnicą między tymi produktami są składniki, takie jak pimentos (papryczki wiśniowe) lub pikle (ogórki konserwowe/kiszone), które są używane jako środki aromatyzujące i które nie mają wpływu na bezpieczeństwo żywności, zakład powinien zebrać dane dotyczące produktu produkowanego w największej ilości.</w:t>
      </w:r>
    </w:p>
    <w:p w14:paraId="2CE5217C" w14:textId="77777777" w:rsidR="00632C48" w:rsidRPr="009301DF" w:rsidRDefault="005F6F63" w:rsidP="007C1C8A">
      <w:pPr>
        <w:pStyle w:val="Teksttreci0"/>
        <w:framePr w:w="10103" w:h="15466" w:hRule="exact" w:wrap="none" w:vAnchor="page" w:hAnchor="page" w:x="1149" w:y="481"/>
        <w:spacing w:after="0"/>
      </w:pPr>
      <w:r w:rsidRPr="009301DF">
        <w:t>W innych przypadkach zakłady mogą rozważyć wybór więcej niż jednego produktu z danej kategorii HACCP.</w:t>
      </w:r>
    </w:p>
    <w:p w14:paraId="6D42545B" w14:textId="12002594" w:rsidR="00632C48" w:rsidRPr="009301DF" w:rsidRDefault="005F6F63" w:rsidP="007C1C8A">
      <w:pPr>
        <w:pStyle w:val="Teksttreci0"/>
        <w:framePr w:w="10103" w:h="15466" w:hRule="exact" w:wrap="none" w:vAnchor="page" w:hAnchor="page" w:x="1149" w:y="481"/>
        <w:numPr>
          <w:ilvl w:val="0"/>
          <w:numId w:val="6"/>
        </w:numPr>
        <w:spacing w:after="0"/>
      </w:pPr>
      <w:r w:rsidRPr="009301DF">
        <w:t>Na przykład: Jeśli zakład przetwarza zarówno hot dogi, jak i całą pierś z indyka RTE, która jest krojona w plastry, oba produkty powinny zostać zatwierdzone, ponieważ ich</w:t>
      </w:r>
    </w:p>
    <w:p w14:paraId="24AB1DBF"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53A0F76F" w14:textId="77777777" w:rsidR="00632C48" w:rsidRPr="009301DF" w:rsidRDefault="00632C48">
      <w:pPr>
        <w:spacing w:line="1" w:lineRule="exact"/>
      </w:pPr>
    </w:p>
    <w:p w14:paraId="61414F5D" w14:textId="77777777" w:rsidR="00632C48" w:rsidRPr="009301DF" w:rsidRDefault="005F6F63" w:rsidP="007C1C8A">
      <w:pPr>
        <w:pStyle w:val="Teksttreci0"/>
        <w:framePr w:w="9475" w:h="14169" w:hRule="exact" w:wrap="none" w:vAnchor="page" w:hAnchor="page" w:x="1496" w:y="511"/>
        <w:ind w:left="800"/>
      </w:pPr>
      <w:r w:rsidRPr="009301DF">
        <w:t>procesy są zasadniczo różne i oba zostały uznane za stanowiące zwiększone ryzyko zachorowania konsumenta na listeriozę.</w:t>
      </w:r>
    </w:p>
    <w:p w14:paraId="218E8E29" w14:textId="77777777" w:rsidR="00632C48" w:rsidRPr="009301DF" w:rsidRDefault="005F6F63" w:rsidP="007C1C8A">
      <w:pPr>
        <w:pStyle w:val="Nagwek10"/>
        <w:framePr w:w="9475" w:h="14169" w:hRule="exact" w:wrap="none" w:vAnchor="page" w:hAnchor="page" w:x="1496" w:y="511"/>
        <w:spacing w:after="360"/>
      </w:pPr>
      <w:bookmarkStart w:id="13" w:name="bookmark24"/>
      <w:r w:rsidRPr="009301DF">
        <w:t>Jak długo zakład musi przeprowadzać wstępną walidację (elementy 1 i 2)?</w:t>
      </w:r>
      <w:bookmarkEnd w:id="13"/>
    </w:p>
    <w:p w14:paraId="74F07988" w14:textId="77777777" w:rsidR="00632C48" w:rsidRPr="009301DF" w:rsidRDefault="005F6F63" w:rsidP="007C1C8A">
      <w:pPr>
        <w:pStyle w:val="Teksttreci0"/>
        <w:framePr w:w="9475" w:h="14169" w:hRule="exact" w:wrap="none" w:vAnchor="page" w:hAnchor="page" w:x="1496" w:y="511"/>
      </w:pPr>
      <w:r w:rsidRPr="009301DF">
        <w:t>Podczas procesu przeprowadzania analizy zagrożeń i opracowywania planu HACCP, zakłady gromadzą dokumentację pomocniczą w postaci wsparcia naukowego lub technicznego dla projektu systemu HACCP (</w:t>
      </w:r>
      <w:r w:rsidRPr="009301DF">
        <w:rPr>
          <w:b/>
          <w:bCs/>
        </w:rPr>
        <w:t>Element 1</w:t>
      </w:r>
      <w:r w:rsidRPr="009301DF">
        <w:t>). Nowe zakłady muszą przeprowadzić analizę zagrożeń (9 CFR 417.2) oraz opracować i zatwierdzić plan HACCP (9 CFR 417.4) przed uzyskaniem zgody na inspekcję federalną zgodnie z wymogami 9 CFR 304.3(b) i 381.22(b). Ponadto zakłady muszą przeprowadzić analizę zagrożeń oraz opracować plan HACCP (9 CFR 417.2) przed wyprodukowaniem nowego produktu przeznaczonego do dystrybucji w handlu, zgodnie z wymogami 9 CFR 304.3(c) i 381.22(c). Zgodnie z tymi wymogami, zakłady powinny zebrać naukowe lub techniczne wsparcie dla zmodyfikowanego planu HACCP, przed jego wdrożeniem, jeśli wyniki ponownej oceny wskazują, że potrzebne jest nowe lub dodatkowe wsparcie (np. w przypadku wprowadzenia znaczących zmian w działaniu interwencyjnym lub dodania nowego działania interwencyjnego). Zakłady mogą rozpocząć gromadzenie wsparcia poprzez przeprowadzenie przeglądu dostępnej literatury naukowej, opublikowanych wytycznych dotyczących przetwarzania i prawnych standardów działania w celu ustalenia, czy istnieje już dokumentacja naukowa odpowiadająca ich aktualnemu produktowi i procesowi.</w:t>
      </w:r>
    </w:p>
    <w:p w14:paraId="487350EA" w14:textId="77777777" w:rsidR="00632C48" w:rsidRPr="009301DF" w:rsidRDefault="005F6F63" w:rsidP="007C1C8A">
      <w:pPr>
        <w:pStyle w:val="Teksttreci0"/>
        <w:framePr w:w="9475" w:h="14169" w:hRule="exact" w:wrap="none" w:vAnchor="page" w:hAnchor="page" w:x="1496" w:y="511"/>
      </w:pPr>
      <w:r w:rsidRPr="009301DF">
        <w:t>Po przeprowadzeniu analizy zagrożeń i opracowaniu planu HACCP zakłady gromadzą wewnętrzne dane walidacyjne potwierdzające, że system HACCP może działać zgodnie z oczekiwaniami (</w:t>
      </w:r>
      <w:r w:rsidRPr="009301DF">
        <w:rPr>
          <w:b/>
          <w:bCs/>
        </w:rPr>
        <w:t>Element 2</w:t>
      </w:r>
      <w:r w:rsidRPr="009301DF">
        <w:t>). Nowym zakładom wydawane jest warunkowe zezwolenie na inspekcję na okres do 90 dni, podczas którego muszą one ukończyć wstępną walidację zgodnie z wymogami 9 CFR 304.3(b) i 381.22(b) (</w:t>
      </w:r>
      <w:r w:rsidRPr="009301DF">
        <w:rPr>
          <w:b/>
          <w:bCs/>
        </w:rPr>
        <w:t>Element 2</w:t>
      </w:r>
      <w:r w:rsidRPr="009301DF">
        <w:t>). Dodatkowo, 9 CFR 304.3(c) i 381.22(c) wymagają, aby zakłady produkujące nowy produkt zakończyły wstępną walidację nowego planu HACCP w okresie nieprzekraczającym 90 dni od daty wyprodukowania nowego produktu do dystrybucji w handlu. Zgodnie z tymi wymogami, wstępna walidacja powinna obejmować pierwsze 90 dni kalendarzowych doświadczenia zakładu w zakresie przetwarzania ze zmodyfikowanym planem HACCP, jeśli wyniki ponownej oceny wskazują, że należy zebrać dane dotyczące walidacji w zakładzie (np. jeśli wprowadzono znaczące zmiany w działaniu interwencyjnym lub dodano nowe działanie interwencyjne).</w:t>
      </w:r>
    </w:p>
    <w:p w14:paraId="0AF3FA40" w14:textId="77777777" w:rsidR="00632C48" w:rsidRPr="009301DF" w:rsidRDefault="005F6F63" w:rsidP="007C1C8A">
      <w:pPr>
        <w:pStyle w:val="Teksttreci0"/>
        <w:framePr w:w="9475" w:h="14169" w:hRule="exact" w:wrap="none" w:vAnchor="page" w:hAnchor="page" w:x="1496" w:y="511"/>
        <w:spacing w:after="0"/>
      </w:pPr>
      <w:r w:rsidRPr="009301DF">
        <w:t>W przypadku dużych zakładów 90 dni kalendarzowych odpowiada około 60 dniom produkcyjnym. FSIS zdaje sobie sprawę, że wiele małych i bardzo małych zakładów nie działa codziennie. W związku z tym FSIS zaleca, aby minimalny poziom zapisów z 13 dni produkcyjnych w ciągu tych początkowych 90 dni kalendarzowych został wykorzystany do wstępnej walidacji systemu HACCP małego lub bardzo małego zakładu. FSIS zdaje sobie również sprawę, że istnieją zakłady, które wytwarzają produkty tak rzadko, że nie byłyby w stanie zebrać zapisów z 13 dni produkcyjnych w ciągu tych 90 początkowych dni kalendarzowych. Jeśli zakład rzadko wytwarza kilka produktów, z których każdy należy do odrębnej kategorii HACCP, istnieje nieodłączne ryzyko związane z procesami, jeśli zakład nie ma doświadczenia w ich wytwarzaniu. W związku z tym, aby ustalić, czy system jest prawidłowo zaprojektowany i wdrożony,</w:t>
      </w:r>
    </w:p>
    <w:p w14:paraId="4CD4298A"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024A6722" w14:textId="77777777" w:rsidR="00632C48" w:rsidRPr="009301DF" w:rsidRDefault="00632C48">
      <w:pPr>
        <w:spacing w:line="1" w:lineRule="exact"/>
      </w:pPr>
    </w:p>
    <w:p w14:paraId="7B632837" w14:textId="77777777" w:rsidR="00632C48" w:rsidRPr="009301DF" w:rsidRDefault="005F6F63" w:rsidP="007C1C8A">
      <w:pPr>
        <w:pStyle w:val="Teksttreci0"/>
        <w:framePr w:w="9514" w:h="14273" w:hRule="exact" w:wrap="none" w:vAnchor="page" w:hAnchor="page" w:x="1477" w:y="984"/>
      </w:pPr>
      <w:r w:rsidRPr="009301DF">
        <w:t>nawet jeśli przepisy przewidują 90 dni na wstępną walidację, zakład potrzebujący więcej niż 90 dni może zwrócić się do biura okręgowego na piśmie o dodatkowy czas na zebranie dokumentacji z co najmniej 13 dni produkcyjnych, gdy po raz pierwszy rozpoczyna działalność lub gdy rozpoczyna produkcję nowego produktu, lub o zmodyfikowany plan HACCP, jeśli wyniki ponownej oceny wskazują, że potrzebne jest dodatkowe wsparcie. We wniosku zakład powinien wskazać, dlaczego na zebranie danych walidacyjnych w zakładzie potrzeba więcej niż 90 dni oraz w jaki sposób planuje zebrać dane walidacyjne w zakładzie z co najmniej 13 dni produkcyjnych w ciągu najbliższych 30 dni kalendarzowych. Wniosek zostanie następnie oceniony indywidualnie dla każdego przypadku. Zakład powinien rozważyć skoncentrowanie działań walidacyjnych na produkcie wytwarzanym najczęściej w ramach każdej kategorii HACCP. Ponadto zakład może rozważyć ocenę danych zebranych dla produktów z wielu kategorii HACCP w celu ustalenia, czy dane te łącznie mogą wspierać jego zdolność do spełnienia krytycznych parametrów operacyjnych.</w:t>
      </w:r>
    </w:p>
    <w:p w14:paraId="260AADE9" w14:textId="77777777" w:rsidR="00632C48" w:rsidRPr="009301DF" w:rsidRDefault="005F6F63" w:rsidP="007C1C8A">
      <w:pPr>
        <w:pStyle w:val="Teksttreci0"/>
        <w:framePr w:w="9514" w:h="14273" w:hRule="exact" w:wrap="none" w:vAnchor="page" w:hAnchor="page" w:x="1477" w:y="984"/>
      </w:pPr>
      <w:r w:rsidRPr="009301DF">
        <w:t>Jak wspomniano wcześniej, jeśli zakład wdraża proces zgodny ze specyfikacjami opisanymi we wsparciu naukowym , a wsparcie naukowe zawiera dane mikrobiologiczne określające poziom redukcji patogenów osiągnięty dzięki strategii działań interwencyjnych dla docelowego patogenu zidentyfikowanego w analizie zagrożeń, dane walidacyjne w zakładzie zebrane podczas 90-dniowego okresu wstępnej walidacji będą składać się z danych dotyczących wymiernych charakterystyk krytycznych parametrów operacyjnych, takich jak ciśnienie, temperatura i stężenie.</w:t>
      </w:r>
      <w:r w:rsidRPr="009301DF">
        <w:br/>
        <w:t xml:space="preserve"> Jeśli jednak zakład wdroży </w:t>
      </w:r>
      <w:r w:rsidRPr="009301DF">
        <w:rPr>
          <w:b/>
          <w:bCs/>
        </w:rPr>
        <w:t>inne krytyczne parametry operacyjne</w:t>
      </w:r>
      <w:r w:rsidRPr="009301DF">
        <w:t xml:space="preserve"> w procesie niż wsparcie naukowe lub zidentyfikowane wsparcie naukowe </w:t>
      </w:r>
      <w:r w:rsidRPr="009301DF">
        <w:rPr>
          <w:b/>
          <w:bCs/>
        </w:rPr>
        <w:t>nie zawiera danych mikrobiologicznych</w:t>
      </w:r>
      <w:r w:rsidRPr="009301DF">
        <w:t>, wówczas zakład powinien zebrać dane wykazujące, że wdrożone krytyczne parametry operacyjne mogą być spełnione ORAZ powinien zebrać dane z walidacji mikrobiologicznej w zakładzie lub porównać wsparcie naukowe z danymi mikrobiologicznymi, i w ten sposób wykazać skuteczność wdrożonych krytycznych parametrów operacyjnych.</w:t>
      </w:r>
    </w:p>
    <w:p w14:paraId="02BE8BA8" w14:textId="77777777" w:rsidR="00632C48" w:rsidRPr="009301DF" w:rsidRDefault="005F6F63" w:rsidP="007C1C8A">
      <w:pPr>
        <w:pStyle w:val="Teksttreci0"/>
        <w:framePr w:w="9514" w:h="14273" w:hRule="exact" w:wrap="none" w:vAnchor="page" w:hAnchor="page" w:x="1477" w:y="984"/>
      </w:pPr>
      <w:r w:rsidRPr="009301DF">
        <w:t>Zakłady mogą kontynuować produkcję i wysyłkę produktu do handlu podczas 90-dniowego okresu wstępnej walidacji, z wyjątkiem zakładów, które zbierają w zakładzie dane mikrobiologiczne w celu potwierdzenia, że produkt jest produktem gotowym do spożycia (RTE). Na przykład, jeśli zakład produkujący produkt RTE wdraża procesy związane ze śmiertelnością przy użyciu innych krytycznych parametrów operacyjnych (np. czas, temperatura lub wilgotność względna) niż jego wsparcie naukowe, zakład może zlecić badanie kwestionujące w celu wykazania skuteczności alternatywnych parametrów, w ciągu 90-dniowego okresu wstępnej walidacji. W tym czasie zakład nie mógłby wysłać produktu RTE do handlu, ponieważ nie ma niezbędnego wsparcia naukowego, aby wykazać, że wszystkie potencjalne zagrożenia zostały uwzględnione i że produkt spełniałby definicję RTE w rozumieniu 9 CFR 430.1 (że jest w formie jadalnej bez konieczności dodatkowego przygotowania w celu zapewnienia bezpieczeństwa żywności).</w:t>
      </w:r>
    </w:p>
    <w:p w14:paraId="63004E7F" w14:textId="77777777" w:rsidR="00632C48" w:rsidRPr="009301DF" w:rsidRDefault="005F6F63" w:rsidP="007C1C8A">
      <w:pPr>
        <w:pStyle w:val="Teksttreci0"/>
        <w:framePr w:w="9514" w:h="14273" w:hRule="exact" w:wrap="none" w:vAnchor="page" w:hAnchor="page" w:x="1477" w:y="984"/>
        <w:spacing w:after="0"/>
      </w:pPr>
      <w:r w:rsidRPr="009301DF">
        <w:t xml:space="preserve">Jeśli zakład ma pytania dotyczące tego, czy potrzebne jest pełne wsparcie naukowe dla jego produktów, zanim produkty te będą mogły zostać wysłane do handlu, może przesłać pytanie za pośrednictwem </w:t>
      </w:r>
      <w:r w:rsidRPr="009301DF">
        <w:rPr>
          <w:i/>
          <w:iCs/>
        </w:rPr>
        <w:t>askFSIS</w:t>
      </w:r>
      <w:r w:rsidRPr="009301DF">
        <w:t xml:space="preserve"> na stronie </w:t>
      </w:r>
      <w:hyperlink r:id="rId53" w:history="1">
        <w:r w:rsidRPr="009301DF">
          <w:t xml:space="preserve"> </w:t>
        </w:r>
        <w:r w:rsidRPr="009301DF">
          <w:rPr>
            <w:color w:val="0000FF"/>
            <w:u w:val="single"/>
          </w:rPr>
          <w:t>http://askfsis.custhelp.com/</w:t>
        </w:r>
        <w:r w:rsidRPr="009301DF">
          <w:rPr>
            <w:color w:val="0000FF"/>
          </w:rPr>
          <w:t xml:space="preserve"> </w:t>
        </w:r>
      </w:hyperlink>
      <w:r w:rsidRPr="009301DF">
        <w:t>, postępując zgodnie ze wskazówkami na stronie ii niniejszego dokumentu</w:t>
      </w:r>
    </w:p>
    <w:p w14:paraId="1DD04D43"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5B30B5C4" w14:textId="77777777" w:rsidR="00632C48" w:rsidRPr="009301DF" w:rsidRDefault="00632C48">
      <w:pPr>
        <w:spacing w:line="1" w:lineRule="exact"/>
      </w:pPr>
    </w:p>
    <w:p w14:paraId="76BA0368" w14:textId="180C5422" w:rsidR="00632C48" w:rsidRPr="009301DF" w:rsidRDefault="005F6F63">
      <w:pPr>
        <w:pStyle w:val="Nagwek10"/>
        <w:framePr w:w="9514" w:h="830" w:hRule="exact" w:wrap="none" w:vAnchor="page" w:hAnchor="page" w:x="1477" w:y="1671"/>
        <w:spacing w:after="0"/>
      </w:pPr>
      <w:bookmarkStart w:id="14" w:name="bookmark26"/>
      <w:bookmarkStart w:id="15" w:name="bookmark27"/>
      <w:r w:rsidRPr="009301DF">
        <w:t xml:space="preserve">Jakie rodzaje dokumentacji są dokumentami walidacyjnymi i jak długo zakład </w:t>
      </w:r>
      <w:r w:rsidR="00406A61" w:rsidRPr="009301DF">
        <w:t>powinien je</w:t>
      </w:r>
      <w:r w:rsidRPr="009301DF">
        <w:t xml:space="preserve"> przechowywać?</w:t>
      </w:r>
      <w:bookmarkEnd w:id="14"/>
      <w:bookmarkEnd w:id="15"/>
    </w:p>
    <w:p w14:paraId="2A7EBF08" w14:textId="2677F4C5" w:rsidR="00632C48" w:rsidRPr="009301DF" w:rsidRDefault="005F6F63" w:rsidP="004365BD">
      <w:pPr>
        <w:pStyle w:val="Teksttreci0"/>
        <w:framePr w:w="9514" w:h="3667" w:hRule="exact" w:wrap="none" w:vAnchor="page" w:hAnchor="page" w:x="1477" w:y="2736"/>
        <w:spacing w:after="0"/>
        <w:ind w:right="2705"/>
        <w:rPr>
          <w:color w:val="auto"/>
        </w:rPr>
      </w:pPr>
      <w:r w:rsidRPr="009301DF">
        <w:t>Wsparcie naukowe (projekt) i dane walidacyjne w zakładzie (wykonanie) wspierają decyzje podjęte w analizie zagrożeń i adekwatności procesu do kontroli tych zagrożeń. Dlatego te dokumenty pomocnicze muszą być przechowywane przez cały okres obowiązywania planu, aby spełnić wymagania 9 CFR I 417.5(a)(1) i (2).</w:t>
      </w:r>
      <w:r w:rsidRPr="009301DF">
        <w:rPr>
          <w:color w:val="auto"/>
        </w:rPr>
        <w:t xml:space="preserve"> </w:t>
      </w:r>
    </w:p>
    <w:p w14:paraId="76E3406F" w14:textId="556889B6" w:rsidR="00632C48" w:rsidRPr="009301DF" w:rsidRDefault="005F6F63" w:rsidP="004365BD">
      <w:pPr>
        <w:pStyle w:val="Teksttreci0"/>
        <w:framePr w:w="9514" w:h="3667" w:hRule="exact" w:wrap="none" w:vAnchor="page" w:hAnchor="page" w:x="1477" w:y="2736"/>
        <w:spacing w:after="0"/>
        <w:ind w:right="2705"/>
        <w:jc w:val="both"/>
        <w:rPr>
          <w:color w:val="auto"/>
        </w:rPr>
      </w:pPr>
      <w:r w:rsidRPr="009301DF">
        <w:rPr>
          <w:b/>
          <w:color w:val="auto"/>
        </w:rPr>
        <w:t xml:space="preserve">UWAGA: </w:t>
      </w:r>
      <w:r w:rsidRPr="009301DF">
        <w:rPr>
          <w:color w:val="auto"/>
        </w:rPr>
        <w:t>Zakłady korzystające z istniejących systemów HACCP opracowanych przed wydaniem niniejszego dokumentu, które nie posiadają dokumentów z ich wstępnej walidacji, będą musiały zebrać niezbędne dane.</w:t>
      </w:r>
      <w:hyperlink w:anchor="bookmark44" w:tooltip="Current Document">
        <w:r w:rsidRPr="009301DF">
          <w:rPr>
            <w:color w:val="auto"/>
          </w:rPr>
          <w:t xml:space="preserve"> Dodatek 5 </w:t>
        </w:r>
      </w:hyperlink>
      <w:r w:rsidRPr="009301DF">
        <w:t>zawiera dalsze wytyczne dla zakładów, które nie posiadają już danych walidacyjnych.</w:t>
      </w:r>
    </w:p>
    <w:p w14:paraId="072BE1C8" w14:textId="77777777" w:rsidR="00632C48" w:rsidRPr="009301DF" w:rsidRDefault="00632C48">
      <w:pPr>
        <w:pStyle w:val="Teksttreci0"/>
        <w:framePr w:w="9514" w:h="3667" w:hRule="exact" w:wrap="none" w:vAnchor="page" w:hAnchor="page" w:x="1477" w:y="2736"/>
        <w:spacing w:after="0"/>
        <w:ind w:right="2491"/>
        <w:jc w:val="both"/>
      </w:pPr>
    </w:p>
    <w:p w14:paraId="39816815" w14:textId="77777777" w:rsidR="00632C48" w:rsidRPr="009301DF" w:rsidRDefault="005F6F63" w:rsidP="007C1C8A">
      <w:pPr>
        <w:pStyle w:val="Podpisobrazu0"/>
        <w:framePr w:w="3211" w:h="3110" w:hRule="exact" w:wrap="none" w:vAnchor="page" w:hAnchor="page" w:x="8589" w:y="2765"/>
      </w:pPr>
      <w:r w:rsidRPr="009301DF">
        <w:rPr>
          <w:b/>
        </w:rPr>
        <w:t>Najważniejsze wymagania</w:t>
      </w:r>
    </w:p>
    <w:p w14:paraId="3482D0D6" w14:textId="77777777" w:rsidR="00632C48" w:rsidRPr="009301DF" w:rsidRDefault="005F6F63" w:rsidP="007C1C8A">
      <w:pPr>
        <w:pStyle w:val="Podpisobrazu0"/>
        <w:framePr w:w="3211" w:h="3110" w:hRule="exact" w:wrap="none" w:vAnchor="page" w:hAnchor="page" w:x="8589" w:y="2765"/>
        <w:spacing w:after="0"/>
      </w:pPr>
      <w:r w:rsidRPr="009301DF">
        <w:t>Naukowe lub techniczne wsparcie dla projektu oraz dokumenty wstępnej walidacji w zakładzie muszą być przechowywane w aktach jako część dokumentacji uzupełniającej, według 9 CFR 417.5(a)(1) i (2).</w:t>
      </w:r>
    </w:p>
    <w:p w14:paraId="1992681A" w14:textId="77777777" w:rsidR="00632C48" w:rsidRPr="009301DF" w:rsidRDefault="005F6F63" w:rsidP="007C1C8A">
      <w:pPr>
        <w:pStyle w:val="Podpisobrazu0"/>
        <w:framePr w:w="8203" w:h="5401" w:hRule="exact" w:wrap="none" w:vAnchor="page" w:hAnchor="page" w:x="2187" w:y="6840"/>
        <w:shd w:val="clear" w:color="auto" w:fill="E9F0F8"/>
      </w:pPr>
      <w:r w:rsidRPr="009301DF">
        <w:rPr>
          <w:b/>
        </w:rPr>
        <w:t>KLUCZOWE PYTANIE</w:t>
      </w:r>
    </w:p>
    <w:p w14:paraId="20B0766D" w14:textId="77777777" w:rsidR="00632C48" w:rsidRPr="009301DF" w:rsidRDefault="005F6F63" w:rsidP="007C1C8A">
      <w:pPr>
        <w:pStyle w:val="Podpisobrazu0"/>
        <w:framePr w:w="8203" w:h="5401" w:hRule="exact" w:wrap="none" w:vAnchor="page" w:hAnchor="page" w:x="2187" w:y="6840"/>
        <w:shd w:val="clear" w:color="auto" w:fill="E9F0F8"/>
      </w:pPr>
      <w:r w:rsidRPr="008855E1">
        <w:rPr>
          <w:u w:val="single"/>
        </w:rPr>
        <w:t>Pytanie</w:t>
      </w:r>
      <w:r w:rsidRPr="009301DF">
        <w:t>: Jeśli zakład nie korzystał z procesu przez rok lub dłużej, czy proces jest nadal zatwierdzony?</w:t>
      </w:r>
    </w:p>
    <w:p w14:paraId="2CBC0A4B" w14:textId="77777777" w:rsidR="00632C48" w:rsidRPr="009301DF" w:rsidRDefault="005F6F63" w:rsidP="007C1C8A">
      <w:pPr>
        <w:pStyle w:val="Podpisobrazu0"/>
        <w:framePr w:w="8203" w:h="5401" w:hRule="exact" w:wrap="none" w:vAnchor="page" w:hAnchor="page" w:x="2187" w:y="6840"/>
        <w:shd w:val="clear" w:color="auto" w:fill="E9F0F8"/>
        <w:spacing w:after="0"/>
      </w:pPr>
      <w:r w:rsidRPr="008855E1">
        <w:rPr>
          <w:u w:val="single"/>
        </w:rPr>
        <w:t>Odpowiedź</w:t>
      </w:r>
      <w:r w:rsidRPr="009301DF">
        <w:t>:</w:t>
      </w:r>
      <w:r w:rsidRPr="009301DF">
        <w:rPr>
          <w:b/>
        </w:rPr>
        <w:t xml:space="preserve"> </w:t>
      </w:r>
      <w:r w:rsidRPr="009301DF">
        <w:t>Najprawdopodobniej nie. Zakład musiałby przeprowadzić ponowną ocenę w celu ustalenia, czy zaszły zmiany, które mogłyby wpłynąć na analizę zagrożeń lub zmienić plan HACCP. Jeśli ponowna ocena doprowadzi do modyfikacji systemu HACCP, zakład będzie musiał zebrać dodatkowe dane walidacyjne. Zakłady mięsne i drobiarskie muszą dokumentować każdą ponowną ocenę oraz powody wszelkich zmian w planie HACCP w oparciu o ponowną ocenę, lub podać przyczyny braku zmian w planie HACCP w oparciu o ponowną ocenę (9 CFR 417.4(a)(3)). W przypadku corocznej ponownej oceny, jeśli zakład ustali, że nie są potrzebne żadne zmiany w planie HACCP, nie jest wymagane udokumentowanie podstawy tego ustalenia.</w:t>
      </w:r>
    </w:p>
    <w:p w14:paraId="44E398CB"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699" behindDoc="1" locked="0" layoutInCell="1" allowOverlap="1" wp14:anchorId="1A79F99C" wp14:editId="54699104">
            <wp:simplePos x="0" y="0"/>
            <wp:positionH relativeFrom="page">
              <wp:posOffset>1242060</wp:posOffset>
            </wp:positionH>
            <wp:positionV relativeFrom="page">
              <wp:posOffset>4199890</wp:posOffset>
            </wp:positionV>
            <wp:extent cx="5535295" cy="4334510"/>
            <wp:effectExtent l="0" t="0" r="0" b="0"/>
            <wp:wrapNone/>
            <wp:docPr id="19" name="Shape 19"/>
            <wp:cNvGraphicFramePr/>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54"/>
                    <a:stretch/>
                  </pic:blipFill>
                  <pic:spPr>
                    <a:xfrm>
                      <a:off x="0" y="0"/>
                      <a:ext cx="5535295" cy="4334510"/>
                    </a:xfrm>
                    <a:prstGeom prst="rect">
                      <a:avLst/>
                    </a:prstGeom>
                  </pic:spPr>
                </pic:pic>
              </a:graphicData>
            </a:graphic>
          </wp:anchor>
        </w:drawing>
      </w:r>
      <w:r w:rsidRPr="009301DF">
        <w:rPr>
          <w:noProof/>
        </w:rPr>
        <w:drawing>
          <wp:anchor distT="0" distB="0" distL="0" distR="0" simplePos="0" relativeHeight="62914700" behindDoc="1" locked="0" layoutInCell="1" allowOverlap="1" wp14:anchorId="70ED1AE5" wp14:editId="532DB83B">
            <wp:simplePos x="0" y="0"/>
            <wp:positionH relativeFrom="page">
              <wp:posOffset>5457190</wp:posOffset>
            </wp:positionH>
            <wp:positionV relativeFrom="page">
              <wp:posOffset>1639570</wp:posOffset>
            </wp:positionV>
            <wp:extent cx="2057400" cy="2252345"/>
            <wp:effectExtent l="0" t="0" r="0" b="0"/>
            <wp:wrapNone/>
            <wp:docPr id="21" name="Shape 21"/>
            <wp:cNvGraphicFramePr/>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55"/>
                    <a:stretch/>
                  </pic:blipFill>
                  <pic:spPr>
                    <a:xfrm>
                      <a:off x="0" y="0"/>
                      <a:ext cx="2057400" cy="2252345"/>
                    </a:xfrm>
                    <a:prstGeom prst="rect">
                      <a:avLst/>
                    </a:prstGeom>
                  </pic:spPr>
                </pic:pic>
              </a:graphicData>
            </a:graphic>
          </wp:anchor>
        </w:drawing>
      </w:r>
    </w:p>
    <w:p w14:paraId="6A696A67" w14:textId="77777777" w:rsidR="00632C48" w:rsidRPr="009301DF" w:rsidRDefault="00632C48">
      <w:pPr>
        <w:spacing w:line="1" w:lineRule="exact"/>
      </w:pPr>
    </w:p>
    <w:p w14:paraId="6923D645" w14:textId="77777777" w:rsidR="00632C48" w:rsidRPr="009301DF" w:rsidRDefault="005F6F63" w:rsidP="007C1C8A">
      <w:pPr>
        <w:pStyle w:val="Podpisobrazu0"/>
        <w:framePr w:w="10522" w:h="4861" w:hRule="exact" w:wrap="none" w:vAnchor="page" w:hAnchor="page" w:x="1074" w:y="1584"/>
        <w:shd w:val="clear" w:color="auto" w:fill="E9F0F8"/>
      </w:pPr>
      <w:r w:rsidRPr="009301DF">
        <w:rPr>
          <w:b/>
        </w:rPr>
        <w:t>KLUCZOWE PYTANIE</w:t>
      </w:r>
    </w:p>
    <w:p w14:paraId="1EE001A4" w14:textId="77777777" w:rsidR="00632C48" w:rsidRPr="009301DF" w:rsidRDefault="005F6F63" w:rsidP="007C1C8A">
      <w:pPr>
        <w:pStyle w:val="Podpisobrazu0"/>
        <w:framePr w:w="10522" w:h="4861" w:hRule="exact" w:wrap="none" w:vAnchor="page" w:hAnchor="page" w:x="1074" w:y="1584"/>
        <w:shd w:val="clear" w:color="auto" w:fill="E9F0F8"/>
      </w:pPr>
      <w:r w:rsidRPr="008855E1">
        <w:rPr>
          <w:u w:val="single"/>
        </w:rPr>
        <w:t>Pytanie</w:t>
      </w:r>
      <w:r w:rsidRPr="009301DF">
        <w:t>: Jeśli zakład przenosi fizyczną lokalizację, czy będzie musiał w nowej lokalizacji powtórzyć ten element dokumentacji w ramach wstępnej walidacji?</w:t>
      </w:r>
    </w:p>
    <w:p w14:paraId="12ABABA0" w14:textId="77777777" w:rsidR="00632C48" w:rsidRPr="009301DF" w:rsidRDefault="005F6F63" w:rsidP="007C1C8A">
      <w:pPr>
        <w:pStyle w:val="Podpisobrazu0"/>
        <w:framePr w:w="10522" w:h="4861" w:hRule="exact" w:wrap="none" w:vAnchor="page" w:hAnchor="page" w:x="1074" w:y="1584"/>
        <w:shd w:val="clear" w:color="auto" w:fill="E9F0F8"/>
        <w:spacing w:after="0"/>
      </w:pPr>
      <w:r w:rsidRPr="008855E1">
        <w:rPr>
          <w:u w:val="single"/>
        </w:rPr>
        <w:t>Odpowiedź</w:t>
      </w:r>
      <w:r w:rsidRPr="009301DF">
        <w:t>: Najprawdopodobniej tak, jako wynik ponownej oceny zakładu. Podobnie jak w przypadku dużych korporacji z wieloma zakładami, zakład będzie mógł przenieść wsparcie naukowe z jednej lokalizacji do drugiej (spełniając pierwszy element walidacji - projekt), ale najprawdopodobniej będzie musiał zebrać dane w zakładzie, aby wesprzeć drugi element walidacji (wykonanie). Często istnieją różnice w zależności od lokalizacji, które mogą mieć wpływ na to, czy krytyczne parametry operacyjne we wsparciu naukowym lub technicznym mogą być prawidłowo wdrożone w nowym zakładzie. Na przykład, ten sam typ opryskiwacza wyprodukowany przez różnych producentów może mieć różne natężenia przepływu dla interwencyjnego rozpylania, co wymagałoby zmian innych krytycznych parametrów operacyjnych w celu osiągnięcia porównywalnego zastosowania. To samo może dotyczyć wpływu pracowników lub wielkości lub kształtu fizycznej lokalizacji na krytyczne parametry operacyjne.</w:t>
      </w:r>
    </w:p>
    <w:p w14:paraId="5EE3D1B2" w14:textId="77777777" w:rsidR="00632C48" w:rsidRPr="009301DF" w:rsidRDefault="005F6F63">
      <w:pPr>
        <w:pStyle w:val="Nagwek10"/>
        <w:framePr w:w="9514" w:h="7066" w:hRule="exact" w:wrap="none" w:vAnchor="page" w:hAnchor="page" w:x="1477" w:y="7152"/>
        <w:spacing w:after="320"/>
      </w:pPr>
      <w:bookmarkStart w:id="16" w:name="bookmark29"/>
      <w:r w:rsidRPr="009301DF">
        <w:t>Jaka jest różnica pomiędzy wstępną walidacją a bieżącą weryfikacją i co się dzieje się po zakończeniu okresu wstępnej walidacji?</w:t>
      </w:r>
      <w:bookmarkEnd w:id="16"/>
    </w:p>
    <w:p w14:paraId="64F078D2" w14:textId="77777777" w:rsidR="00632C48" w:rsidRPr="009301DF" w:rsidRDefault="005F6F63">
      <w:pPr>
        <w:pStyle w:val="Teksttreci0"/>
        <w:framePr w:w="9514" w:h="7066" w:hRule="exact" w:wrap="none" w:vAnchor="page" w:hAnchor="page" w:x="1477" w:y="7152"/>
      </w:pPr>
      <w:r w:rsidRPr="009301DF">
        <w:t xml:space="preserve">Wiele osób zgadza się, że walidacja powinna być odrębną funkcją od weryfikacji (zob. np. Scott i Stevenson, 2006). </w:t>
      </w:r>
      <w:r w:rsidRPr="009301DF">
        <w:rPr>
          <w:b/>
          <w:bCs/>
        </w:rPr>
        <w:t>W ciągu 90 dni kalendarzowych wstępnej walidacji</w:t>
      </w:r>
      <w:r w:rsidRPr="009301DF">
        <w:t>, po zakończeniu analizy zagrożeń i opracowaniu systemu HACCP, zakłady sprawdzają ważność lub adekwatność systemu HACCP. Zakłady mają obowiązek przeprowadzenia działań walidacyjnych podczas pierwszych doświadczeń z nowym systemem HACCP. Są zobowiązane do zakończenia wstępnej walidacji nowego planu HACCP zgodnie z 9 CFR 417.4 w okresie nieprzekraczającym 90 dni kalendarzowych od daty wykorzystania nowego procesu do produkcji produktu przeznaczonego do dystrybucji w handlu. W ciągu tych 90 dni kalendarzowych zakład gromadzi dane z monitorowania i bieżących działań weryfikacyjnych ze zwiększoną częstotliwością w porównaniu z częstotliwością wymienioną w planie HACCP oraz gromadzi dodatkowe dane w celu wykazania, że proces jest realizowany skutecznie. W tym okresie zakład powinien dokonywać przeglądu tych danych i w razie potrzeby wprowadzać zmiany w swoim systemie.</w:t>
      </w:r>
    </w:p>
    <w:p w14:paraId="7858045A" w14:textId="77777777" w:rsidR="00632C48" w:rsidRPr="009301DF" w:rsidRDefault="005F6F63">
      <w:pPr>
        <w:pStyle w:val="Teksttreci0"/>
        <w:framePr w:w="9514" w:h="7066" w:hRule="exact" w:wrap="none" w:vAnchor="page" w:hAnchor="page" w:x="1477" w:y="7152"/>
        <w:spacing w:after="0"/>
      </w:pPr>
      <w:r w:rsidRPr="009301DF">
        <w:rPr>
          <w:b/>
        </w:rPr>
        <w:t xml:space="preserve">UWAGA: </w:t>
      </w:r>
      <w:r w:rsidRPr="009301DF">
        <w:t>Zakłady mogą stwierdzić, że konieczne są modyfikacje działań interwencyjnych w początkowym okresie walidacji, ponieważ projekt nie przyniósł zamierzonego efektu lub zakład nie mógł przeprowadzić działań interwencyjnych zgodnie z projektem. Takie modyfikacje są częścią procesu wstępnej walidacji. Jednak zakłady, które wielokrotnie wprowadzają poważne modyfikacje w okresie wstępnej walidacji i w rezultacie nie generują wystarczającej dokumentacji potwierdzającej zaprojektowanie</w:t>
      </w:r>
    </w:p>
    <w:p w14:paraId="63ABD865"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1" behindDoc="1" locked="0" layoutInCell="1" allowOverlap="1" wp14:anchorId="1C017EC9" wp14:editId="0069A636">
            <wp:simplePos x="0" y="0"/>
            <wp:positionH relativeFrom="page">
              <wp:posOffset>525780</wp:posOffset>
            </wp:positionH>
            <wp:positionV relativeFrom="page">
              <wp:posOffset>782955</wp:posOffset>
            </wp:positionV>
            <wp:extent cx="6918960" cy="3666490"/>
            <wp:effectExtent l="0" t="0" r="0" b="0"/>
            <wp:wrapNone/>
            <wp:docPr id="23" name="Shape 23"/>
            <wp:cNvGraphicFramePr/>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56"/>
                    <a:stretch/>
                  </pic:blipFill>
                  <pic:spPr>
                    <a:xfrm>
                      <a:off x="0" y="0"/>
                      <a:ext cx="6918960" cy="3666490"/>
                    </a:xfrm>
                    <a:prstGeom prst="rect">
                      <a:avLst/>
                    </a:prstGeom>
                  </pic:spPr>
                </pic:pic>
              </a:graphicData>
            </a:graphic>
          </wp:anchor>
        </w:drawing>
      </w:r>
    </w:p>
    <w:p w14:paraId="52998384" w14:textId="77777777" w:rsidR="00632C48" w:rsidRPr="009301DF" w:rsidRDefault="00632C48">
      <w:pPr>
        <w:spacing w:line="1" w:lineRule="exact"/>
      </w:pPr>
    </w:p>
    <w:p w14:paraId="66573D36" w14:textId="77777777" w:rsidR="00632C48" w:rsidRPr="009301DF" w:rsidRDefault="005F6F63" w:rsidP="007C1C8A">
      <w:pPr>
        <w:pStyle w:val="Teksttreci0"/>
        <w:framePr w:w="9509" w:h="14041" w:hRule="exact" w:wrap="none" w:vAnchor="page" w:hAnchor="page" w:x="1479" w:y="834"/>
      </w:pPr>
      <w:r w:rsidRPr="009301DF">
        <w:t>i wykonanie działań interwencyjnych wykorzystywanych w analizie zagrożeń, mogą nie być w stanie udowodnić, że ich system HACCP jest odpowiedni.</w:t>
      </w:r>
    </w:p>
    <w:p w14:paraId="3BD42DCA" w14:textId="77777777" w:rsidR="00632C48" w:rsidRPr="009301DF" w:rsidRDefault="005F6F63" w:rsidP="007C1C8A">
      <w:pPr>
        <w:pStyle w:val="Teksttreci0"/>
        <w:framePr w:w="9509" w:h="14041" w:hRule="exact" w:wrap="none" w:vAnchor="page" w:hAnchor="page" w:x="1479" w:y="834"/>
      </w:pPr>
      <w:r w:rsidRPr="009301DF">
        <w:rPr>
          <w:b/>
          <w:bCs/>
        </w:rPr>
        <w:t>Po okresie 90 dni kalendarzowych wstępnej walidacji</w:t>
      </w:r>
      <w:r w:rsidRPr="009301DF">
        <w:t xml:space="preserve"> zakład wykorzystuje ustalenia z tego okresu do pełnego wdrożenia systemu i ugruntowania procedur i częstotliwości monitorowania i </w:t>
      </w:r>
      <w:r w:rsidRPr="009301DF">
        <w:rPr>
          <w:b/>
          <w:bCs/>
        </w:rPr>
        <w:t>bieżącej weryfikacji</w:t>
      </w:r>
      <w:r w:rsidRPr="009301DF">
        <w:t>. Następnie zakład kontynuuje codzienne monitorowanie i weryfikację, aby zapewnić prawidłowe wdrożenie systemu HACCP. Zakłady są zobowiązane do wspierania zarówno wybranych procedur monitorowania i weryfikacji, jak i częstotliwości tych procedur w ramach 9 CFR 417.5(a)(2). Dane zebrane podczas wstępnej walidacji, podczas której krytyczne parametry operacyjne są monitorowane z dużą częstotliwością, są jednym ze źródeł informacji, które można wykorzystać do wsparcia procedur oraz ustalenia częstotliwości monitorowania i weryfikacji (zob. przykłady w</w:t>
      </w:r>
      <w:hyperlink w:anchor="bookmark41" w:tooltip="Current Document">
        <w:r w:rsidRPr="009301DF">
          <w:t xml:space="preserve"> </w:t>
        </w:r>
        <w:r w:rsidRPr="009301DF">
          <w:rPr>
            <w:color w:val="0000FF"/>
            <w:u w:val="single"/>
          </w:rPr>
          <w:t>Dodatku 4</w:t>
        </w:r>
        <w:r w:rsidRPr="009301DF">
          <w:t>)</w:t>
        </w:r>
      </w:hyperlink>
      <w:r w:rsidRPr="009301DF">
        <w:t>.</w:t>
      </w:r>
    </w:p>
    <w:p w14:paraId="55ED6ACF" w14:textId="77777777" w:rsidR="00632C48" w:rsidRPr="009301DF" w:rsidRDefault="005F6F63" w:rsidP="007C1C8A">
      <w:pPr>
        <w:pStyle w:val="Teksttreci0"/>
        <w:framePr w:w="9509" w:h="14041" w:hRule="exact" w:wrap="none" w:vAnchor="page" w:hAnchor="page" w:x="1479" w:y="834"/>
      </w:pPr>
      <w:r w:rsidRPr="009301DF">
        <w:rPr>
          <w:b/>
        </w:rPr>
        <w:t xml:space="preserve">Co ważne, nie wszystkie krytyczne parametry operacyjne, które są mierzone podczas wstępnej walidacji, są monitorowane na bieżąco po zakończeniu tego okresu. </w:t>
      </w:r>
      <w:r w:rsidRPr="009301DF">
        <w:t>Na przykład niektóre parametry, takie jak konfiguracja przestrzenna lub formuła składników, mogą nie zmieniać się w czasie i dlatego nie muszą być monitorowane. Ponadto bieżąca weryfikacja może obejmować działania, które nie zostały przeprowadzone w ramach wstępnej walidacji, ponieważ cele tych dwóch procesów różnią się.</w:t>
      </w:r>
    </w:p>
    <w:p w14:paraId="10276B88" w14:textId="77777777" w:rsidR="00632C48" w:rsidRPr="009301DF" w:rsidRDefault="005F6F63" w:rsidP="007C1C8A">
      <w:pPr>
        <w:pStyle w:val="Teksttreci0"/>
        <w:framePr w:w="9509" w:h="14041" w:hRule="exact" w:wrap="none" w:vAnchor="page" w:hAnchor="page" w:x="1479" w:y="834"/>
      </w:pPr>
      <w:r w:rsidRPr="009301DF">
        <w:rPr>
          <w:b/>
        </w:rPr>
        <w:t xml:space="preserve">Celem walidacji jest wykazanie, że zaprojektowany system HACCP może odpowiednio kontrolować zidentyfikowane zagrożenia w celu wytworzenia bezpiecznego, nieskażonego produktu, podczas gdy celem bieżącej weryfikacji jest bieżące potwierdzenie, że system HACCP działa zgodnie z przeznaczeniem. </w:t>
      </w:r>
      <w:r w:rsidRPr="009301DF">
        <w:t>Chociaż pomiar krytycznych parametrów operacyjnych podczas wstępnej walidacji może być odpowiedni, aby zapewnić, że system HACCP w zaprojektowanej formie może być realizowany, nie neguje to potrzeby prowadzenia bieżących działań weryfikacyjnych, takich jak badanie na obecność odpowiednich patogenów lub innych mikroorganizmów, w celu bieżącego potwierdzenia, że system HACCP działa zgodnie z przeznaczeniem.</w:t>
      </w:r>
    </w:p>
    <w:p w14:paraId="5354FC33" w14:textId="77777777" w:rsidR="00632C48" w:rsidRPr="009301DF" w:rsidRDefault="005F6F63" w:rsidP="007C1C8A">
      <w:pPr>
        <w:pStyle w:val="Teksttreci0"/>
        <w:framePr w:w="9509" w:h="14041" w:hRule="exact" w:wrap="none" w:vAnchor="page" w:hAnchor="page" w:x="1479" w:y="834"/>
      </w:pPr>
      <w:r w:rsidRPr="009301DF">
        <w:t xml:space="preserve">Oprócz kontynuowania bieżącej weryfikacji po zakończeniu okresu wstępnej walidacji, ważne jest również uznanie roli </w:t>
      </w:r>
      <w:r w:rsidRPr="009301DF">
        <w:rPr>
          <w:b/>
          <w:bCs/>
        </w:rPr>
        <w:t>ponownej oceny</w:t>
      </w:r>
      <w:r w:rsidRPr="009301DF">
        <w:t xml:space="preserve"> w tym procesie. Przy każdej ponownej ocenie zakłady powinny ponownie ocenić analizę zagrożeń, biorąc pod uwagę informacje o wszelkich chorobach przenoszonych przez żywność związanych z produktami, aby ustalić, czy uwzględniono wszystkie istotne zagrożenia. Ponadto, zakłady powinny zadać sobie pytanie:</w:t>
      </w:r>
    </w:p>
    <w:p w14:paraId="7E5C086A" w14:textId="77777777" w:rsidR="00632C48" w:rsidRPr="009301DF" w:rsidRDefault="005F6F63" w:rsidP="007C1C8A">
      <w:pPr>
        <w:pStyle w:val="Teksttreci0"/>
        <w:framePr w:w="9509" w:h="14041" w:hRule="exact" w:wrap="none" w:vAnchor="page" w:hAnchor="page" w:x="1479" w:y="834"/>
        <w:spacing w:after="0"/>
      </w:pPr>
      <w:r w:rsidRPr="009301DF">
        <w:t>„Czy mój system HACCP jest odpowiedni do kontrolowania zidentyfikowanych zagrożeń dla bezpieczeństwa żywności?”. Co roku i za każdym razem, gdy wystąpią zmiany, które mają wpływ na analizę zagrożeń, zakład powinien dokonać przeglądu dokumentacji wygenerowanej w ciągu poprzedniego roku lub w okresie, w którym nastąpiła zmiana, która odzwierciedla sposób działania systemu HACCP jako całości i przeanalizować je w celu ustalenia, czy cele w zakresie bezpieczeństwa żywności są osiągane. Przegląd ten powinien obejmować zapisy z monitorowania krytycznych limitów i parametrów programów warunków wstępnych w celu zapewnienia, że krytyczne parametry operacyjne w ramach wsparcia naukowego są nadal spełniane oraz wszelkich zapisów z bieżących działań weryfikacyjnych,</w:t>
      </w:r>
    </w:p>
    <w:p w14:paraId="2BBBCD2F"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5EBB5585" w14:textId="77777777" w:rsidR="00632C48" w:rsidRPr="009301DF" w:rsidRDefault="00632C48">
      <w:pPr>
        <w:spacing w:line="1" w:lineRule="exact"/>
      </w:pPr>
    </w:p>
    <w:p w14:paraId="53CCBA2A" w14:textId="1490B6A7" w:rsidR="00632C48" w:rsidRPr="009301DF" w:rsidRDefault="005F6F63" w:rsidP="007C1C8A">
      <w:pPr>
        <w:pStyle w:val="Teksttreci0"/>
        <w:framePr w:w="9494" w:h="14656" w:hRule="exact" w:wrap="none" w:vAnchor="page" w:hAnchor="page" w:x="1487" w:y="646"/>
      </w:pPr>
      <w:r w:rsidRPr="009301DF">
        <w:t>takich jak badania mikrobiologiczne, w celu zapewnienia, że zidentyfikowane zagrożenia dla bezpieczeństwa żywności są pod kontrolą.</w:t>
      </w:r>
    </w:p>
    <w:p w14:paraId="700EB7D8" w14:textId="589BA1BA" w:rsidR="00632C48" w:rsidRPr="009301DF" w:rsidRDefault="005F6F63" w:rsidP="007C1C8A">
      <w:pPr>
        <w:pStyle w:val="Teksttreci0"/>
        <w:framePr w:w="9494" w:h="14656" w:hRule="exact" w:wrap="none" w:vAnchor="page" w:hAnchor="page" w:x="1487" w:y="646"/>
        <w:spacing w:after="0"/>
        <w:ind w:right="3259"/>
      </w:pPr>
      <w:r w:rsidRPr="009301DF">
        <w:t>Jeśli po zakończeniu ponownej oceny zakład stwierdzi, że system HACCP jest skuteczny i funkcjonuje zgodnie z założeniami, zakład może kontynuować stosowanie tego samego systemu, tych samych procedur oraz częstotliwości monitorowania i weryfikacji. Jeśli na koniec ponownej oceny zakład stwierdzi, że jego system HACCP nie został prawidłowo skonfigurowany, nie jest konsekwentnie wdrażany lub nie jest już skuteczny, powinien wprowadzić zmiany w swoim systemie HACCP (np. dodać kolejne działanie interwencyjne), a następnie, w większości przypadków, będzie zobowiązany do zatwierdzenia wszelkich zmian w swoim systemie HACCP.</w:t>
      </w:r>
    </w:p>
    <w:p w14:paraId="7FAFCA75" w14:textId="78F38001" w:rsidR="00632C48" w:rsidRPr="009301DF" w:rsidRDefault="00632C48" w:rsidP="007C1C8A">
      <w:pPr>
        <w:pStyle w:val="Teksttreci0"/>
        <w:framePr w:w="9494" w:h="14656" w:hRule="exact" w:wrap="none" w:vAnchor="page" w:hAnchor="page" w:x="1487" w:y="646"/>
        <w:ind w:right="3259"/>
      </w:pPr>
    </w:p>
    <w:p w14:paraId="15F6E76A" w14:textId="06946081" w:rsidR="00632C48" w:rsidRPr="009301DF" w:rsidRDefault="005F6F63" w:rsidP="007C1C8A">
      <w:pPr>
        <w:pStyle w:val="Teksttreci0"/>
        <w:framePr w:w="9494" w:h="14656" w:hRule="exact" w:wrap="none" w:vAnchor="page" w:hAnchor="page" w:x="1487" w:y="646"/>
        <w:spacing w:after="0"/>
        <w:ind w:right="3259"/>
      </w:pPr>
      <w:r w:rsidRPr="009301DF">
        <w:t>W niektórych przypadkach zmiany wynikające z ponownej oceny nie będą jednak wymagały walidacji. Na przykład zakład, który ponownie ocenia swój system HACCP po zmianie dostawcy surowca, może stwierdzić, że ta zmiana nie wymaga walidacji, ponieważ skład surowca i jego profil mikrobiologiczny nie różnią się znacząco od materiału dostarczanego przez poprzedniego dostawcę. W innych przypadkach zmiany wynikające z ponownej oceny nie wymagałyby dodatkowego wsparcia naukowego, ale wymagałyby dodatkowych wewnątrzzakładowych danych walidacyjnych.</w:t>
      </w:r>
    </w:p>
    <w:p w14:paraId="3C187931" w14:textId="44D48166" w:rsidR="00632C48" w:rsidRPr="009301DF" w:rsidRDefault="005F6F63" w:rsidP="007C1C8A">
      <w:pPr>
        <w:pStyle w:val="Teksttreci0"/>
        <w:framePr w:w="9494" w:h="14656" w:hRule="exact" w:wrap="none" w:vAnchor="page" w:hAnchor="page" w:x="1487" w:y="646"/>
        <w:ind w:right="424"/>
      </w:pPr>
      <w:r w:rsidRPr="009301DF">
        <w:t xml:space="preserve"> Przykładowo zakład może stwierdzić w wyniku ponownej oceny, że projekt działania interwencyjnego był odpowiedni, ale pracownicy nie wdrożyli go prawidłowo. W takim przypadku zakład musiałby jedynie zebrać dane walidacyjne wykazujące, że działanie interwencyjne może być odpowiednio wdrożone. Wreszcie, w zależności od zmiany, zakład prawdopodobnie będzie musiał jedynie potwierdzić, że zmiana działa zgodnie z przeznaczeniem, a nie oceniać cały system HACCP. Na przykład, zakład może zmienić grubość surowego pasztecika i stwierdzić, że musi jedynie zweryfikować, czy instrukcje gotowania nadal osiągają pożądaną temperaturę końcową, a nie dokonać walidacji całego systemu HACCP.</w:t>
      </w:r>
    </w:p>
    <w:p w14:paraId="11EE22AC" w14:textId="77777777" w:rsidR="00632C48" w:rsidRPr="009301DF" w:rsidRDefault="005F6F63" w:rsidP="007C1C8A">
      <w:pPr>
        <w:pStyle w:val="Teksttreci0"/>
        <w:framePr w:w="9494" w:h="14656" w:hRule="exact" w:wrap="none" w:vAnchor="page" w:hAnchor="page" w:x="1487" w:y="646"/>
      </w:pPr>
      <w:r w:rsidRPr="009301DF">
        <w:rPr>
          <w:b/>
        </w:rPr>
        <w:t xml:space="preserve">UWAGA: </w:t>
      </w:r>
      <w:r w:rsidRPr="009301DF">
        <w:t>Zakłady z urzędu muszą sporządzać rejestr każdej ponownej oceny wymaganej przez 9 CFR 417.4(a)(3)(i). Przepisy wymagają, aby zakłady dokumentowały powody wszelkich zmian w planie HACCP w oparciu o ponowną ocenę lub powody braku zmian w planie HACCP w oparciu o ponowną ocenę. W przypadku corocznej ponownej oceny, zgodnie z przepisami, jeśli zakład oficjalnie stwierdzi, że nie musi wprowadzać zmian w swoim planie HACCP, nie ma obowiązku dokumentowania powodów braku zmian w planie HACCP.</w:t>
      </w:r>
    </w:p>
    <w:p w14:paraId="77B4DA1A" w14:textId="77777777" w:rsidR="00632C48" w:rsidRPr="009301DF" w:rsidRDefault="005F6F63" w:rsidP="007C1C8A">
      <w:pPr>
        <w:pStyle w:val="Teksttreci0"/>
        <w:framePr w:w="9494" w:h="14656" w:hRule="exact" w:wrap="none" w:vAnchor="page" w:hAnchor="page" w:x="1487" w:y="646"/>
        <w:spacing w:after="0"/>
      </w:pPr>
      <w:r w:rsidRPr="009301DF">
        <w:t>Podczas gdy zakład zatwierdza wszelkie zmiany wprowadzone do swojego systemu HACCP, nadal wdraża inne części swojego systemu HACCP, takie jak wszelkie bieżące działania weryfikacyjne, w tym testy przeprowadzane w ramach istniejącego systemu. Innymi słowy, gdy zakład wprowadza zmiany do istniejącego systemu HACCP</w:t>
      </w:r>
    </w:p>
    <w:p w14:paraId="70200B6F" w14:textId="659832D0" w:rsidR="00632C48" w:rsidRPr="009301DF" w:rsidRDefault="005F6F63" w:rsidP="007C1C8A">
      <w:pPr>
        <w:pStyle w:val="Teksttreci0"/>
        <w:framePr w:w="3459" w:h="3134" w:hRule="exact" w:wrap="none" w:vAnchor="page" w:hAnchor="page" w:x="8178" w:y="3960"/>
        <w:spacing w:after="0"/>
      </w:pPr>
      <w:r w:rsidRPr="009301DF">
        <w:t>Jeśli po zakończeniu ponownej oceny zakład stwierdzi, że system HACCP jest skuteczny i funkcjonuje zgodnie z założeniami, zakład może kontynuować stosowanie tego samego systemu, tych samych procedur oraz częstotliwości monitorowania i weryfikacji.</w:t>
      </w:r>
    </w:p>
    <w:p w14:paraId="1863820F"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2" behindDoc="1" locked="0" layoutInCell="1" allowOverlap="1" wp14:anchorId="701A1A24" wp14:editId="3469BD95">
            <wp:simplePos x="0" y="0"/>
            <wp:positionH relativeFrom="page">
              <wp:posOffset>4926965</wp:posOffset>
            </wp:positionH>
            <wp:positionV relativeFrom="page">
              <wp:posOffset>1998980</wp:posOffset>
            </wp:positionV>
            <wp:extent cx="2499360" cy="2974975"/>
            <wp:effectExtent l="0" t="0" r="0" b="0"/>
            <wp:wrapNone/>
            <wp:docPr id="25" name="Shape 25"/>
            <wp:cNvGraphicFramePr/>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57"/>
                    <a:stretch/>
                  </pic:blipFill>
                  <pic:spPr>
                    <a:xfrm>
                      <a:off x="0" y="0"/>
                      <a:ext cx="2499360" cy="2974975"/>
                    </a:xfrm>
                    <a:prstGeom prst="rect">
                      <a:avLst/>
                    </a:prstGeom>
                  </pic:spPr>
                </pic:pic>
              </a:graphicData>
            </a:graphic>
          </wp:anchor>
        </w:drawing>
      </w:r>
    </w:p>
    <w:p w14:paraId="3C81401B" w14:textId="77777777" w:rsidR="00632C48" w:rsidRPr="009301DF" w:rsidRDefault="00632C48">
      <w:pPr>
        <w:spacing w:line="1" w:lineRule="exact"/>
      </w:pPr>
    </w:p>
    <w:p w14:paraId="458530A9" w14:textId="77777777" w:rsidR="00632C48" w:rsidRPr="009301DF" w:rsidRDefault="005F6F63">
      <w:pPr>
        <w:pStyle w:val="Teksttreci0"/>
        <w:framePr w:w="9446" w:h="2040" w:hRule="exact" w:wrap="none" w:vAnchor="page" w:hAnchor="page" w:x="1487" w:y="1666"/>
        <w:spacing w:after="0"/>
      </w:pPr>
      <w:r w:rsidRPr="009301DF">
        <w:t>i waliduje te zmiany, walidacja ta nie odbywa się w próżni. Podczas gdy badania mikrobiologiczne nie są wymagane jako część wstępnej walidacji, inne zasady HACCP, takie jak bieżące działania weryfikacyjne, nadal mają zastosowanie, w tym badania weryfikacyjne, które są przeprowadzane w celu potwierdzenia, że system HACCP na bieżąco odnosi się do zidentyfikowanych zagrożeń. Poniższy wykres ilustruje niektóre z kluczowych różnic między wstępną walidacją a bieżącą weryfikacją oraz pokazuje kolejność wykonywania kluczowych kroków.</w:t>
      </w:r>
    </w:p>
    <w:p w14:paraId="21A8AFF8" w14:textId="77777777" w:rsidR="00632C48" w:rsidRPr="009301DF" w:rsidRDefault="005F6F63">
      <w:pPr>
        <w:pStyle w:val="Podpisobrazu0"/>
        <w:framePr w:w="1051" w:h="653" w:hRule="exact" w:wrap="none" w:vAnchor="page" w:hAnchor="page" w:x="1736" w:y="4023"/>
        <w:pBdr>
          <w:top w:val="single" w:sz="0" w:space="0" w:color="4384D2"/>
          <w:left w:val="single" w:sz="0" w:space="0" w:color="4384D2"/>
          <w:bottom w:val="single" w:sz="0" w:space="0" w:color="4384D2"/>
          <w:right w:val="single" w:sz="0" w:space="0" w:color="4384D2"/>
        </w:pBdr>
        <w:shd w:val="clear" w:color="auto" w:fill="4384D2"/>
        <w:spacing w:after="40"/>
        <w:rPr>
          <w:sz w:val="22"/>
          <w:szCs w:val="22"/>
        </w:rPr>
      </w:pPr>
      <w:r w:rsidRPr="009301DF">
        <w:rPr>
          <w:rFonts w:ascii="Calibri" w:hAnsi="Calibri"/>
          <w:color w:val="FFFFFF"/>
          <w:sz w:val="22"/>
        </w:rPr>
        <w:t>Wstępna</w:t>
      </w:r>
    </w:p>
    <w:p w14:paraId="5F737823" w14:textId="77777777" w:rsidR="00632C48" w:rsidRPr="009301DF" w:rsidRDefault="005F6F63">
      <w:pPr>
        <w:pStyle w:val="Podpisobrazu0"/>
        <w:framePr w:w="1051" w:h="653" w:hRule="exact" w:wrap="none" w:vAnchor="page" w:hAnchor="page" w:x="1736" w:y="4023"/>
        <w:pBdr>
          <w:top w:val="single" w:sz="0" w:space="0" w:color="4384D2"/>
          <w:left w:val="single" w:sz="0" w:space="0" w:color="4384D2"/>
          <w:bottom w:val="single" w:sz="0" w:space="0" w:color="4384D2"/>
          <w:right w:val="single" w:sz="0" w:space="0" w:color="4384D2"/>
        </w:pBdr>
        <w:shd w:val="clear" w:color="auto" w:fill="4384D2"/>
        <w:spacing w:after="0"/>
        <w:rPr>
          <w:sz w:val="22"/>
          <w:szCs w:val="22"/>
        </w:rPr>
      </w:pPr>
      <w:r w:rsidRPr="009301DF">
        <w:rPr>
          <w:rFonts w:ascii="Calibri" w:hAnsi="Calibri"/>
          <w:color w:val="FFFFFF"/>
          <w:sz w:val="22"/>
        </w:rPr>
        <w:t>walidacja</w:t>
      </w:r>
    </w:p>
    <w:p w14:paraId="6BD4B5A6" w14:textId="77777777" w:rsidR="00632C48" w:rsidRPr="009301DF" w:rsidRDefault="005F6F63">
      <w:pPr>
        <w:pStyle w:val="Podpisobrazu0"/>
        <w:framePr w:w="1138" w:h="542" w:hRule="exact" w:wrap="none" w:vAnchor="page" w:hAnchor="page" w:x="4909" w:y="4042"/>
        <w:pBdr>
          <w:top w:val="single" w:sz="0" w:space="0" w:color="4383D1"/>
          <w:left w:val="single" w:sz="0" w:space="0" w:color="4383D1"/>
          <w:bottom w:val="single" w:sz="0" w:space="0" w:color="4383D1"/>
          <w:right w:val="single" w:sz="0" w:space="0" w:color="4383D1"/>
        </w:pBdr>
        <w:shd w:val="clear" w:color="auto" w:fill="4383D1"/>
        <w:spacing w:after="0"/>
        <w:rPr>
          <w:sz w:val="22"/>
          <w:szCs w:val="22"/>
        </w:rPr>
      </w:pPr>
      <w:r w:rsidRPr="009301DF">
        <w:rPr>
          <w:rFonts w:ascii="Calibri" w:hAnsi="Calibri"/>
          <w:color w:val="FFFFFF"/>
          <w:sz w:val="22"/>
        </w:rPr>
        <w:t>Bieżąca</w:t>
      </w:r>
    </w:p>
    <w:p w14:paraId="5A498076" w14:textId="77777777" w:rsidR="00632C48" w:rsidRPr="009301DF" w:rsidRDefault="005F6F63">
      <w:pPr>
        <w:pStyle w:val="Podpisobrazu0"/>
        <w:framePr w:w="1138" w:h="542" w:hRule="exact" w:wrap="none" w:vAnchor="page" w:hAnchor="page" w:x="4909" w:y="4042"/>
        <w:pBdr>
          <w:top w:val="single" w:sz="0" w:space="0" w:color="4383D1"/>
          <w:left w:val="single" w:sz="0" w:space="0" w:color="4383D1"/>
          <w:bottom w:val="single" w:sz="0" w:space="0" w:color="4383D1"/>
          <w:right w:val="single" w:sz="0" w:space="0" w:color="4383D1"/>
        </w:pBdr>
        <w:shd w:val="clear" w:color="auto" w:fill="4383D1"/>
        <w:spacing w:after="0" w:line="214" w:lineRule="auto"/>
        <w:rPr>
          <w:sz w:val="22"/>
          <w:szCs w:val="22"/>
        </w:rPr>
      </w:pPr>
      <w:r w:rsidRPr="009301DF">
        <w:rPr>
          <w:rFonts w:ascii="Calibri" w:hAnsi="Calibri"/>
          <w:color w:val="FFFFFF"/>
          <w:sz w:val="22"/>
        </w:rPr>
        <w:t>weryfikacja</w:t>
      </w:r>
    </w:p>
    <w:p w14:paraId="50D22315" w14:textId="77777777" w:rsidR="00632C48" w:rsidRPr="009301DF" w:rsidRDefault="005F6F63">
      <w:pPr>
        <w:pStyle w:val="Podpisobrazu0"/>
        <w:framePr w:wrap="none" w:vAnchor="page" w:hAnchor="page" w:x="8029" w:y="4032"/>
        <w:pBdr>
          <w:top w:val="single" w:sz="0" w:space="0" w:color="4384D2"/>
          <w:left w:val="single" w:sz="0" w:space="0" w:color="4384D2"/>
          <w:bottom w:val="single" w:sz="0" w:space="0" w:color="4384D2"/>
          <w:right w:val="single" w:sz="0" w:space="0" w:color="4384D2"/>
        </w:pBdr>
        <w:shd w:val="clear" w:color="auto" w:fill="4384D2"/>
        <w:spacing w:after="0"/>
        <w:rPr>
          <w:sz w:val="22"/>
          <w:szCs w:val="22"/>
        </w:rPr>
      </w:pPr>
      <w:r w:rsidRPr="009301DF">
        <w:rPr>
          <w:rFonts w:ascii="Calibri" w:hAnsi="Calibri"/>
          <w:color w:val="FFFFFF"/>
          <w:sz w:val="22"/>
        </w:rPr>
        <w:t>Ponowna ocena</w:t>
      </w:r>
    </w:p>
    <w:p w14:paraId="2898ABE8" w14:textId="77777777" w:rsidR="00632C48" w:rsidRPr="003F700F" w:rsidRDefault="005F6F63" w:rsidP="003F700F">
      <w:pPr>
        <w:pStyle w:val="Podpisobrazu0"/>
        <w:framePr w:w="1661" w:h="8065" w:hRule="exact" w:wrap="none" w:vAnchor="page" w:hAnchor="page" w:x="2207" w:y="4863"/>
        <w:spacing w:after="0" w:line="214" w:lineRule="auto"/>
        <w:rPr>
          <w:sz w:val="20"/>
          <w:szCs w:val="20"/>
        </w:rPr>
      </w:pPr>
      <w:r w:rsidRPr="003F700F">
        <w:rPr>
          <w:rFonts w:ascii="Calibri" w:hAnsi="Calibri"/>
          <w:sz w:val="20"/>
          <w:szCs w:val="22"/>
        </w:rPr>
        <w:t xml:space="preserve">• </w:t>
      </w:r>
      <w:r w:rsidRPr="003F700F">
        <w:rPr>
          <w:rFonts w:ascii="Calibri" w:hAnsi="Calibri"/>
          <w:b/>
          <w:sz w:val="20"/>
          <w:szCs w:val="22"/>
        </w:rPr>
        <w:t>Częstotliwość:</w:t>
      </w:r>
    </w:p>
    <w:p w14:paraId="04079D81" w14:textId="39F6052B" w:rsidR="00632C48" w:rsidRPr="003F700F" w:rsidRDefault="005F6F63" w:rsidP="003F700F">
      <w:pPr>
        <w:pStyle w:val="Podpisobrazu0"/>
        <w:framePr w:w="1661" w:h="8065" w:hRule="exact" w:wrap="none" w:vAnchor="page" w:hAnchor="page" w:x="2207" w:y="4863"/>
        <w:spacing w:after="280" w:line="214" w:lineRule="auto"/>
        <w:ind w:left="426" w:hanging="286"/>
        <w:rPr>
          <w:sz w:val="18"/>
          <w:szCs w:val="18"/>
        </w:rPr>
      </w:pPr>
      <w:r w:rsidRPr="009301DF">
        <w:rPr>
          <w:rFonts w:ascii="Calibri" w:hAnsi="Calibri"/>
          <w:sz w:val="22"/>
        </w:rPr>
        <w:t xml:space="preserve">• </w:t>
      </w:r>
      <w:r w:rsidR="003F700F">
        <w:rPr>
          <w:rFonts w:ascii="Calibri" w:hAnsi="Calibri"/>
          <w:sz w:val="22"/>
        </w:rPr>
        <w:tab/>
      </w:r>
      <w:r w:rsidRPr="003F700F">
        <w:rPr>
          <w:rFonts w:ascii="Calibri" w:hAnsi="Calibri"/>
          <w:sz w:val="18"/>
          <w:szCs w:val="20"/>
        </w:rPr>
        <w:t>Raz w ciągu pierwszych 90 dni obowiązywania nowego lub zmienionego systemu HACCP</w:t>
      </w:r>
    </w:p>
    <w:p w14:paraId="33321683" w14:textId="77777777" w:rsidR="00632C48" w:rsidRPr="003F700F" w:rsidRDefault="005F6F63" w:rsidP="003F700F">
      <w:pPr>
        <w:pStyle w:val="Podpisobrazu0"/>
        <w:framePr w:w="1661" w:h="8065" w:hRule="exact" w:wrap="none" w:vAnchor="page" w:hAnchor="page" w:x="2207" w:y="4863"/>
        <w:spacing w:after="0" w:line="214" w:lineRule="auto"/>
        <w:rPr>
          <w:sz w:val="20"/>
          <w:szCs w:val="20"/>
        </w:rPr>
      </w:pPr>
      <w:r w:rsidRPr="003F700F">
        <w:rPr>
          <w:rFonts w:ascii="Calibri" w:hAnsi="Calibri"/>
          <w:sz w:val="20"/>
          <w:szCs w:val="22"/>
        </w:rPr>
        <w:t xml:space="preserve">• </w:t>
      </w:r>
      <w:r w:rsidRPr="003F700F">
        <w:rPr>
          <w:rFonts w:ascii="Calibri" w:hAnsi="Calibri"/>
          <w:b/>
          <w:sz w:val="20"/>
          <w:szCs w:val="22"/>
        </w:rPr>
        <w:t>Cel:</w:t>
      </w:r>
    </w:p>
    <w:p w14:paraId="23965F5B" w14:textId="2E311139" w:rsidR="00632C48" w:rsidRPr="003F700F" w:rsidRDefault="005F6F63" w:rsidP="003F700F">
      <w:pPr>
        <w:pStyle w:val="Podpisobrazu0"/>
        <w:framePr w:w="1661" w:h="8065" w:hRule="exact" w:wrap="none" w:vAnchor="page" w:hAnchor="page" w:x="2207" w:y="4863"/>
        <w:spacing w:after="280" w:line="214" w:lineRule="auto"/>
        <w:ind w:left="426" w:hanging="286"/>
        <w:rPr>
          <w:sz w:val="20"/>
          <w:szCs w:val="20"/>
        </w:rPr>
      </w:pPr>
      <w:r w:rsidRPr="009301DF">
        <w:rPr>
          <w:rFonts w:ascii="Calibri" w:hAnsi="Calibri"/>
          <w:sz w:val="22"/>
        </w:rPr>
        <w:t xml:space="preserve">• </w:t>
      </w:r>
      <w:r w:rsidR="003F700F">
        <w:rPr>
          <w:rFonts w:ascii="Calibri" w:hAnsi="Calibri"/>
          <w:sz w:val="22"/>
        </w:rPr>
        <w:tab/>
      </w:r>
      <w:r w:rsidRPr="003F700F">
        <w:rPr>
          <w:rFonts w:ascii="Calibri" w:hAnsi="Calibri"/>
          <w:sz w:val="18"/>
          <w:szCs w:val="20"/>
        </w:rPr>
        <w:t>Zapewnienie, że zaprojektowany system HACCP działa zgodnie z przeznaczeniem</w:t>
      </w:r>
    </w:p>
    <w:p w14:paraId="5AD4EFA3" w14:textId="77777777" w:rsidR="00632C48" w:rsidRPr="003F700F" w:rsidRDefault="005F6F63" w:rsidP="003F700F">
      <w:pPr>
        <w:pStyle w:val="Podpisobrazu0"/>
        <w:framePr w:w="1661" w:h="8065" w:hRule="exact" w:wrap="none" w:vAnchor="page" w:hAnchor="page" w:x="2207" w:y="4863"/>
        <w:spacing w:after="0" w:line="214" w:lineRule="auto"/>
        <w:rPr>
          <w:sz w:val="20"/>
          <w:szCs w:val="20"/>
        </w:rPr>
      </w:pPr>
      <w:r w:rsidRPr="003F700F">
        <w:rPr>
          <w:rFonts w:ascii="Calibri" w:hAnsi="Calibri"/>
          <w:sz w:val="20"/>
          <w:szCs w:val="22"/>
        </w:rPr>
        <w:t xml:space="preserve">• </w:t>
      </w:r>
      <w:r w:rsidRPr="003F700F">
        <w:rPr>
          <w:rFonts w:ascii="Calibri" w:hAnsi="Calibri"/>
          <w:b/>
          <w:sz w:val="20"/>
          <w:szCs w:val="22"/>
        </w:rPr>
        <w:t>Proces:</w:t>
      </w:r>
    </w:p>
    <w:p w14:paraId="35FA284B" w14:textId="2B6E7FF1" w:rsidR="00632C48" w:rsidRPr="003F700F" w:rsidRDefault="005F6F63" w:rsidP="003F700F">
      <w:pPr>
        <w:pStyle w:val="Podpisobrazu0"/>
        <w:framePr w:w="1661" w:h="8065" w:hRule="exact" w:wrap="none" w:vAnchor="page" w:hAnchor="page" w:x="2207" w:y="4863"/>
        <w:spacing w:after="0" w:line="214" w:lineRule="auto"/>
        <w:ind w:left="426" w:hanging="286"/>
        <w:rPr>
          <w:sz w:val="20"/>
          <w:szCs w:val="20"/>
        </w:rPr>
      </w:pPr>
      <w:r w:rsidRPr="009301DF">
        <w:rPr>
          <w:rFonts w:ascii="Calibri" w:hAnsi="Calibri"/>
          <w:sz w:val="22"/>
        </w:rPr>
        <w:t xml:space="preserve">• </w:t>
      </w:r>
      <w:r w:rsidR="003F700F">
        <w:rPr>
          <w:rFonts w:ascii="Calibri" w:hAnsi="Calibri"/>
          <w:sz w:val="22"/>
        </w:rPr>
        <w:tab/>
      </w:r>
      <w:r w:rsidRPr="003F700F">
        <w:rPr>
          <w:rFonts w:ascii="Calibri" w:hAnsi="Calibri"/>
          <w:sz w:val="18"/>
          <w:szCs w:val="20"/>
        </w:rPr>
        <w:t>Wielokrotne testowanie wszystkich krytycznych parametrów operacyjnych w celu wykazania, że zakład może je wdrożyć i że są one skuteczne w kontrolowaniu zidentyfikowanych zagrożeń</w:t>
      </w:r>
    </w:p>
    <w:p w14:paraId="58E8842F" w14:textId="77777777" w:rsidR="00632C48" w:rsidRPr="003F700F" w:rsidRDefault="005F6F63">
      <w:pPr>
        <w:pStyle w:val="Podpisobrazu0"/>
        <w:framePr w:w="1642" w:h="8122" w:hRule="exact" w:wrap="none" w:vAnchor="page" w:hAnchor="page" w:x="5341" w:y="4800"/>
        <w:spacing w:after="0" w:line="214" w:lineRule="auto"/>
        <w:rPr>
          <w:rFonts w:ascii="Calibri" w:hAnsi="Calibri"/>
          <w:b/>
          <w:sz w:val="20"/>
          <w:szCs w:val="22"/>
        </w:rPr>
      </w:pPr>
      <w:r w:rsidRPr="003F700F">
        <w:rPr>
          <w:rFonts w:ascii="Calibri" w:hAnsi="Calibri"/>
          <w:b/>
          <w:sz w:val="20"/>
          <w:szCs w:val="22"/>
        </w:rPr>
        <w:t>• Częstotliwość:</w:t>
      </w:r>
    </w:p>
    <w:p w14:paraId="6B23EF17" w14:textId="097E2705" w:rsidR="00632C48" w:rsidRPr="009301DF" w:rsidRDefault="005F6F63" w:rsidP="003F700F">
      <w:pPr>
        <w:pStyle w:val="Podpisobrazu0"/>
        <w:framePr w:w="1642" w:h="8122" w:hRule="exact" w:wrap="none" w:vAnchor="page" w:hAnchor="page" w:x="5341" w:y="4800"/>
        <w:spacing w:after="280" w:line="214" w:lineRule="auto"/>
        <w:ind w:left="426" w:hanging="286"/>
        <w:rPr>
          <w:sz w:val="22"/>
          <w:szCs w:val="22"/>
        </w:rPr>
      </w:pPr>
      <w:r w:rsidRPr="009301DF">
        <w:rPr>
          <w:rFonts w:ascii="Calibri" w:hAnsi="Calibri"/>
          <w:sz w:val="22"/>
        </w:rPr>
        <w:t xml:space="preserve">• </w:t>
      </w:r>
      <w:r w:rsidR="003F700F">
        <w:rPr>
          <w:rFonts w:ascii="Calibri" w:hAnsi="Calibri"/>
          <w:sz w:val="22"/>
        </w:rPr>
        <w:tab/>
      </w:r>
      <w:r w:rsidRPr="003F700F">
        <w:rPr>
          <w:rFonts w:ascii="Calibri" w:hAnsi="Calibri"/>
          <w:sz w:val="18"/>
          <w:szCs w:val="20"/>
        </w:rPr>
        <w:t>Trwające po zakończeniu wstępnej walidacji (tj. od 91 dnia) i dalej</w:t>
      </w:r>
    </w:p>
    <w:p w14:paraId="5C983466" w14:textId="77777777" w:rsidR="00632C48" w:rsidRPr="003F700F" w:rsidRDefault="005F6F63">
      <w:pPr>
        <w:pStyle w:val="Podpisobrazu0"/>
        <w:framePr w:w="1642" w:h="8122" w:hRule="exact" w:wrap="none" w:vAnchor="page" w:hAnchor="page" w:x="5341" w:y="4800"/>
        <w:spacing w:after="0" w:line="214" w:lineRule="auto"/>
        <w:rPr>
          <w:rFonts w:ascii="Calibri" w:hAnsi="Calibri"/>
          <w:b/>
          <w:sz w:val="20"/>
          <w:szCs w:val="22"/>
        </w:rPr>
      </w:pPr>
      <w:r w:rsidRPr="003F700F">
        <w:rPr>
          <w:rFonts w:ascii="Calibri" w:hAnsi="Calibri"/>
          <w:b/>
          <w:sz w:val="20"/>
          <w:szCs w:val="22"/>
        </w:rPr>
        <w:t>• Cel:</w:t>
      </w:r>
    </w:p>
    <w:p w14:paraId="561F0E63" w14:textId="47ABAC57" w:rsidR="00632C48" w:rsidRPr="003F700F" w:rsidRDefault="005F6F63" w:rsidP="003F700F">
      <w:pPr>
        <w:pStyle w:val="Podpisobrazu0"/>
        <w:framePr w:w="1642" w:h="8122" w:hRule="exact" w:wrap="none" w:vAnchor="page" w:hAnchor="page" w:x="5341" w:y="4800"/>
        <w:spacing w:after="280" w:line="214" w:lineRule="auto"/>
        <w:ind w:left="426" w:hanging="286"/>
        <w:rPr>
          <w:rFonts w:ascii="Calibri" w:hAnsi="Calibri"/>
          <w:sz w:val="18"/>
          <w:szCs w:val="20"/>
        </w:rPr>
      </w:pPr>
      <w:r w:rsidRPr="003F700F">
        <w:rPr>
          <w:rFonts w:ascii="Calibri" w:hAnsi="Calibri"/>
          <w:sz w:val="18"/>
          <w:szCs w:val="20"/>
        </w:rPr>
        <w:t xml:space="preserve">• </w:t>
      </w:r>
      <w:r w:rsidR="003F700F">
        <w:rPr>
          <w:rFonts w:ascii="Calibri" w:hAnsi="Calibri"/>
          <w:sz w:val="18"/>
          <w:szCs w:val="20"/>
        </w:rPr>
        <w:tab/>
      </w:r>
      <w:r w:rsidRPr="003F700F">
        <w:rPr>
          <w:rFonts w:ascii="Calibri" w:hAnsi="Calibri"/>
          <w:sz w:val="18"/>
          <w:szCs w:val="20"/>
        </w:rPr>
        <w:t>Zapewnienie, że system HACCP funkcjonuje na bieżąco zgodnie z założeniami</w:t>
      </w:r>
    </w:p>
    <w:p w14:paraId="0077C3EF" w14:textId="77777777" w:rsidR="00632C48" w:rsidRPr="003F700F" w:rsidRDefault="005F6F63">
      <w:pPr>
        <w:pStyle w:val="Podpisobrazu0"/>
        <w:framePr w:w="1642" w:h="8122" w:hRule="exact" w:wrap="none" w:vAnchor="page" w:hAnchor="page" w:x="5341" w:y="4800"/>
        <w:spacing w:after="0" w:line="214" w:lineRule="auto"/>
        <w:rPr>
          <w:rFonts w:ascii="Calibri" w:hAnsi="Calibri"/>
          <w:b/>
          <w:sz w:val="20"/>
          <w:szCs w:val="22"/>
        </w:rPr>
      </w:pPr>
      <w:r w:rsidRPr="003F700F">
        <w:rPr>
          <w:rFonts w:ascii="Calibri" w:hAnsi="Calibri"/>
          <w:b/>
          <w:sz w:val="20"/>
          <w:szCs w:val="22"/>
        </w:rPr>
        <w:t>• Proces:</w:t>
      </w:r>
    </w:p>
    <w:p w14:paraId="0DA464BF" w14:textId="1FFF6CAC" w:rsidR="00632C48" w:rsidRPr="003F700F" w:rsidRDefault="005F6F63" w:rsidP="003F700F">
      <w:pPr>
        <w:pStyle w:val="Podpisobrazu0"/>
        <w:framePr w:w="1642" w:h="8122" w:hRule="exact" w:wrap="none" w:vAnchor="page" w:hAnchor="page" w:x="5341" w:y="4800"/>
        <w:spacing w:after="280" w:line="214" w:lineRule="auto"/>
        <w:ind w:left="426" w:hanging="286"/>
        <w:rPr>
          <w:rFonts w:ascii="Calibri" w:hAnsi="Calibri"/>
          <w:sz w:val="18"/>
          <w:szCs w:val="20"/>
        </w:rPr>
      </w:pPr>
      <w:r w:rsidRPr="003F700F">
        <w:rPr>
          <w:rFonts w:ascii="Calibri" w:hAnsi="Calibri"/>
          <w:sz w:val="18"/>
          <w:szCs w:val="20"/>
        </w:rPr>
        <w:t xml:space="preserve">• </w:t>
      </w:r>
      <w:r w:rsidR="003F700F">
        <w:rPr>
          <w:rFonts w:ascii="Calibri" w:hAnsi="Calibri"/>
          <w:sz w:val="18"/>
          <w:szCs w:val="20"/>
        </w:rPr>
        <w:tab/>
      </w:r>
      <w:r w:rsidRPr="003F700F">
        <w:rPr>
          <w:rFonts w:ascii="Calibri" w:hAnsi="Calibri"/>
          <w:sz w:val="18"/>
          <w:szCs w:val="20"/>
        </w:rPr>
        <w:t>Prowadzenie bieżących działań weryfikacyjnych, w tym kalibracji, bezpośredniej obserwacji i przeglądu dokumentacji, a także innych niezależnych kontroli, takich jak testy.</w:t>
      </w:r>
    </w:p>
    <w:p w14:paraId="76B99A59" w14:textId="77777777" w:rsidR="00632C48" w:rsidRPr="003F700F" w:rsidRDefault="005F6F63" w:rsidP="003F700F">
      <w:pPr>
        <w:pStyle w:val="Podpisobrazu0"/>
        <w:framePr w:w="1680" w:h="7982" w:hRule="exact" w:wrap="none" w:vAnchor="page" w:hAnchor="page" w:x="8471" w:y="4863"/>
        <w:spacing w:after="0" w:line="214" w:lineRule="auto"/>
        <w:rPr>
          <w:rFonts w:ascii="Calibri" w:hAnsi="Calibri"/>
          <w:b/>
          <w:sz w:val="20"/>
          <w:szCs w:val="22"/>
        </w:rPr>
      </w:pPr>
      <w:r w:rsidRPr="003F700F">
        <w:rPr>
          <w:rFonts w:ascii="Calibri" w:hAnsi="Calibri"/>
          <w:b/>
          <w:sz w:val="20"/>
          <w:szCs w:val="22"/>
        </w:rPr>
        <w:t>• Częstotliwość:</w:t>
      </w:r>
    </w:p>
    <w:p w14:paraId="49633F0E" w14:textId="2AB4109F" w:rsidR="00632C48" w:rsidRPr="003F700F" w:rsidRDefault="005F6F63" w:rsidP="003F700F">
      <w:pPr>
        <w:pStyle w:val="Podpisobrazu0"/>
        <w:framePr w:w="1680" w:h="7982" w:hRule="exact" w:wrap="none" w:vAnchor="page" w:hAnchor="page" w:x="8471" w:y="4863"/>
        <w:spacing w:after="280" w:line="214" w:lineRule="auto"/>
        <w:ind w:left="426" w:hanging="286"/>
        <w:rPr>
          <w:rFonts w:ascii="Calibri" w:hAnsi="Calibri"/>
          <w:sz w:val="18"/>
          <w:szCs w:val="20"/>
        </w:rPr>
      </w:pPr>
      <w:r w:rsidRPr="003F700F">
        <w:rPr>
          <w:rFonts w:ascii="Calibri" w:hAnsi="Calibri"/>
          <w:sz w:val="18"/>
          <w:szCs w:val="20"/>
        </w:rPr>
        <w:t xml:space="preserve">• </w:t>
      </w:r>
      <w:r w:rsidR="003F700F">
        <w:rPr>
          <w:rFonts w:ascii="Calibri" w:hAnsi="Calibri"/>
          <w:sz w:val="18"/>
          <w:szCs w:val="20"/>
        </w:rPr>
        <w:tab/>
      </w:r>
      <w:r w:rsidRPr="003F700F">
        <w:rPr>
          <w:rFonts w:ascii="Calibri" w:hAnsi="Calibri"/>
          <w:sz w:val="18"/>
          <w:szCs w:val="20"/>
        </w:rPr>
        <w:t>Raz w roku i za każdym razem, gdy wystąpią zmiany mające wpływ na analizę zagrożeń lub plan HACCP</w:t>
      </w:r>
    </w:p>
    <w:p w14:paraId="7F76E1E9" w14:textId="77777777" w:rsidR="00632C48" w:rsidRPr="009301DF" w:rsidRDefault="005F6F63">
      <w:pPr>
        <w:pStyle w:val="Podpisobrazu0"/>
        <w:framePr w:w="1680" w:h="7982" w:hRule="exact" w:wrap="none" w:vAnchor="page" w:hAnchor="page" w:x="8471" w:y="4863"/>
        <w:spacing w:after="0" w:line="223" w:lineRule="auto"/>
        <w:rPr>
          <w:sz w:val="20"/>
          <w:szCs w:val="20"/>
        </w:rPr>
      </w:pPr>
      <w:r w:rsidRPr="009301DF">
        <w:rPr>
          <w:rFonts w:ascii="Calibri" w:hAnsi="Calibri"/>
          <w:sz w:val="20"/>
        </w:rPr>
        <w:t xml:space="preserve">• </w:t>
      </w:r>
      <w:r w:rsidRPr="009301DF">
        <w:rPr>
          <w:rFonts w:ascii="Calibri" w:hAnsi="Calibri"/>
          <w:b/>
          <w:sz w:val="20"/>
        </w:rPr>
        <w:t>Cel:</w:t>
      </w:r>
    </w:p>
    <w:p w14:paraId="0EC5A215" w14:textId="58EE6F23" w:rsidR="00632C48" w:rsidRPr="003F700F" w:rsidRDefault="005F6F63" w:rsidP="003F700F">
      <w:pPr>
        <w:pStyle w:val="Podpisobrazu0"/>
        <w:framePr w:w="1680" w:h="7982" w:hRule="exact" w:wrap="none" w:vAnchor="page" w:hAnchor="page" w:x="8471" w:y="4863"/>
        <w:spacing w:after="280" w:line="214" w:lineRule="auto"/>
        <w:ind w:left="426" w:hanging="286"/>
        <w:rPr>
          <w:rFonts w:ascii="Calibri" w:hAnsi="Calibri"/>
          <w:sz w:val="18"/>
          <w:szCs w:val="20"/>
        </w:rPr>
      </w:pPr>
      <w:r w:rsidRPr="003F700F">
        <w:rPr>
          <w:rFonts w:ascii="Calibri" w:hAnsi="Calibri"/>
          <w:sz w:val="18"/>
          <w:szCs w:val="20"/>
        </w:rPr>
        <w:t xml:space="preserve">• </w:t>
      </w:r>
      <w:r w:rsidR="003F700F">
        <w:rPr>
          <w:rFonts w:ascii="Calibri" w:hAnsi="Calibri"/>
          <w:sz w:val="18"/>
          <w:szCs w:val="20"/>
        </w:rPr>
        <w:tab/>
      </w:r>
      <w:r w:rsidRPr="003F700F">
        <w:rPr>
          <w:rFonts w:ascii="Calibri" w:hAnsi="Calibri"/>
          <w:sz w:val="18"/>
          <w:szCs w:val="20"/>
        </w:rPr>
        <w:t>Ustalenie, czy zaprojektowany i wdrożony system HACCP jest nadal odpowiedni</w:t>
      </w:r>
    </w:p>
    <w:p w14:paraId="4EE7AB9C" w14:textId="77777777" w:rsidR="00632C48" w:rsidRPr="009301DF" w:rsidRDefault="005F6F63">
      <w:pPr>
        <w:pStyle w:val="Podpisobrazu0"/>
        <w:framePr w:w="1680" w:h="7982" w:hRule="exact" w:wrap="none" w:vAnchor="page" w:hAnchor="page" w:x="8471" w:y="4863"/>
        <w:spacing w:after="0" w:line="223" w:lineRule="auto"/>
        <w:rPr>
          <w:sz w:val="20"/>
          <w:szCs w:val="20"/>
        </w:rPr>
      </w:pPr>
      <w:r w:rsidRPr="009301DF">
        <w:rPr>
          <w:rFonts w:ascii="Calibri" w:hAnsi="Calibri"/>
          <w:sz w:val="20"/>
        </w:rPr>
        <w:t xml:space="preserve">• </w:t>
      </w:r>
      <w:r w:rsidRPr="003F700F">
        <w:rPr>
          <w:rFonts w:ascii="Calibri" w:hAnsi="Calibri"/>
          <w:b/>
          <w:sz w:val="20"/>
          <w:szCs w:val="22"/>
        </w:rPr>
        <w:t>Proces:</w:t>
      </w:r>
    </w:p>
    <w:p w14:paraId="28AF716A" w14:textId="4E2A8794" w:rsidR="00632C48" w:rsidRPr="003F700F" w:rsidRDefault="005F6F63" w:rsidP="003F700F">
      <w:pPr>
        <w:pStyle w:val="Podpisobrazu0"/>
        <w:framePr w:w="1680" w:h="7982" w:hRule="exact" w:wrap="none" w:vAnchor="page" w:hAnchor="page" w:x="8471" w:y="4863"/>
        <w:spacing w:after="280" w:line="214" w:lineRule="auto"/>
        <w:ind w:left="426" w:hanging="286"/>
        <w:rPr>
          <w:rFonts w:ascii="Calibri" w:hAnsi="Calibri"/>
          <w:sz w:val="18"/>
          <w:szCs w:val="20"/>
        </w:rPr>
      </w:pPr>
      <w:r w:rsidRPr="003F700F">
        <w:rPr>
          <w:rFonts w:ascii="Calibri" w:hAnsi="Calibri"/>
          <w:sz w:val="18"/>
          <w:szCs w:val="20"/>
        </w:rPr>
        <w:t xml:space="preserve">• </w:t>
      </w:r>
      <w:r w:rsidR="003F700F">
        <w:rPr>
          <w:rFonts w:ascii="Calibri" w:hAnsi="Calibri"/>
          <w:sz w:val="18"/>
          <w:szCs w:val="20"/>
        </w:rPr>
        <w:tab/>
      </w:r>
      <w:r w:rsidRPr="003F700F">
        <w:rPr>
          <w:rFonts w:ascii="Calibri" w:hAnsi="Calibri"/>
          <w:sz w:val="18"/>
          <w:szCs w:val="20"/>
        </w:rPr>
        <w:t>Przegląd dokumentacji wygenerowanej z bieżącej weryfikacji w celu zapewnienia, że system HACCP w formie, w jakiej został zaprojektowany i wdrożony, jest nadal odpowiedni (tj. poprzez wyniki testów i monitorowanie krytycznych parametrów operacyjnych).</w:t>
      </w:r>
    </w:p>
    <w:p w14:paraId="6D9EBF01" w14:textId="77777777" w:rsidR="00632C48" w:rsidRPr="00A87360" w:rsidRDefault="005F6F63" w:rsidP="00A87360">
      <w:pPr>
        <w:pStyle w:val="Podpisobrazu0"/>
        <w:framePr w:w="3296" w:wrap="none" w:vAnchor="page" w:hAnchor="page" w:x="6003" w:y="14125"/>
        <w:spacing w:after="0"/>
        <w:rPr>
          <w:sz w:val="14"/>
          <w:szCs w:val="14"/>
        </w:rPr>
      </w:pPr>
      <w:r w:rsidRPr="00A87360">
        <w:rPr>
          <w:sz w:val="14"/>
          <w:szCs w:val="18"/>
        </w:rPr>
        <w:t>Jeśli ponowna ocena nie przyniesie żadnych zmian</w:t>
      </w:r>
    </w:p>
    <w:p w14:paraId="7E127ED9" w14:textId="77777777" w:rsidR="00632C48" w:rsidRPr="009301DF" w:rsidRDefault="005F6F63" w:rsidP="007C1C8A">
      <w:pPr>
        <w:pStyle w:val="Podpisobrazu0"/>
        <w:framePr w:w="6391" w:h="302" w:hRule="exact" w:wrap="none" w:vAnchor="page" w:hAnchor="page" w:x="2912" w:y="14408"/>
        <w:spacing w:after="0"/>
        <w:jc w:val="center"/>
        <w:rPr>
          <w:sz w:val="20"/>
          <w:szCs w:val="20"/>
        </w:rPr>
      </w:pPr>
      <w:r w:rsidRPr="009301DF">
        <w:rPr>
          <w:sz w:val="20"/>
        </w:rPr>
        <w:t>Jeśli ponowna ocena doprowadzi do zmian w systemie HACCP</w:t>
      </w:r>
    </w:p>
    <w:p w14:paraId="269943D8"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3" behindDoc="1" locked="0" layoutInCell="1" allowOverlap="1" wp14:anchorId="579AD192" wp14:editId="6966C313">
            <wp:simplePos x="0" y="0"/>
            <wp:positionH relativeFrom="page">
              <wp:posOffset>659765</wp:posOffset>
            </wp:positionH>
            <wp:positionV relativeFrom="page">
              <wp:posOffset>2449830</wp:posOffset>
            </wp:positionV>
            <wp:extent cx="6501130" cy="7001510"/>
            <wp:effectExtent l="0" t="0" r="0" b="0"/>
            <wp:wrapNone/>
            <wp:docPr id="27" name="Shape 27"/>
            <wp:cNvGraphicFramePr/>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58"/>
                    <a:stretch/>
                  </pic:blipFill>
                  <pic:spPr>
                    <a:xfrm>
                      <a:off x="0" y="0"/>
                      <a:ext cx="6501130" cy="7001510"/>
                    </a:xfrm>
                    <a:prstGeom prst="rect">
                      <a:avLst/>
                    </a:prstGeom>
                  </pic:spPr>
                </pic:pic>
              </a:graphicData>
            </a:graphic>
          </wp:anchor>
        </w:drawing>
      </w:r>
    </w:p>
    <w:p w14:paraId="60CC766E" w14:textId="6BB2EDC3" w:rsidR="00632C48" w:rsidRPr="009301DF" w:rsidRDefault="00632C48">
      <w:pPr>
        <w:spacing w:line="1" w:lineRule="exact"/>
      </w:pPr>
    </w:p>
    <w:p w14:paraId="1EE8464F" w14:textId="77777777" w:rsidR="00632C48" w:rsidRPr="009301DF" w:rsidRDefault="005F6F63">
      <w:pPr>
        <w:pStyle w:val="Teksttreci0"/>
        <w:framePr w:w="9470" w:h="1210" w:hRule="exact" w:wrap="none" w:vAnchor="page" w:hAnchor="page" w:x="1482" w:y="1666"/>
        <w:spacing w:after="0"/>
      </w:pPr>
      <w:r w:rsidRPr="009301DF">
        <w:t>Poniżej przedstawiono przykład dynamicznego procesu zilustrowanego wcześniej dla zakładu produkującego mieloną wołowinę. W tym przykładzie zakład podjął decyzję o dodaniu działania interwencyjnego do obrzynek mięsa przed ich zmieleniem. Należy pamiętać, że przykład pokazuje tylko jedną część całego systemu HACCP.</w:t>
      </w:r>
    </w:p>
    <w:p w14:paraId="1546BCD4" w14:textId="4C4253F6" w:rsidR="00632C48" w:rsidRPr="009301DF" w:rsidRDefault="005F6F63" w:rsidP="004365BD">
      <w:pPr>
        <w:pStyle w:val="Podpisobrazu0"/>
        <w:framePr w:w="1104" w:h="701" w:hRule="exact" w:wrap="none" w:vAnchor="page" w:hAnchor="page" w:x="1760" w:y="3663"/>
        <w:pBdr>
          <w:top w:val="single" w:sz="0" w:space="0" w:color="4283D2"/>
          <w:left w:val="single" w:sz="0" w:space="0" w:color="4283D2"/>
          <w:bottom w:val="single" w:sz="0" w:space="0" w:color="4283D2"/>
          <w:right w:val="single" w:sz="0" w:space="0" w:color="4283D2"/>
        </w:pBdr>
        <w:shd w:val="clear" w:color="auto" w:fill="4283D2"/>
        <w:spacing w:after="60"/>
      </w:pPr>
      <w:r w:rsidRPr="009301DF">
        <w:rPr>
          <w:rFonts w:ascii="Calibri" w:hAnsi="Calibri"/>
          <w:color w:val="FFFFFF"/>
        </w:rPr>
        <w:t>Wstępna walidacja</w:t>
      </w:r>
    </w:p>
    <w:p w14:paraId="460DE034" w14:textId="2451AA47" w:rsidR="00632C48" w:rsidRPr="009301DF" w:rsidRDefault="005F6F63" w:rsidP="004365BD">
      <w:pPr>
        <w:pStyle w:val="Podpisobrazu0"/>
        <w:framePr w:w="1181" w:h="547" w:hRule="exact" w:wrap="none" w:vAnchor="page" w:hAnchor="page" w:x="5029" w:y="3658"/>
        <w:pBdr>
          <w:top w:val="single" w:sz="0" w:space="0" w:color="4283D2"/>
          <w:left w:val="single" w:sz="0" w:space="0" w:color="4283D2"/>
          <w:bottom w:val="single" w:sz="0" w:space="0" w:color="4283D2"/>
          <w:right w:val="single" w:sz="0" w:space="0" w:color="4283D2"/>
        </w:pBdr>
        <w:shd w:val="clear" w:color="auto" w:fill="4283D2"/>
        <w:spacing w:after="0"/>
        <w:rPr>
          <w:sz w:val="22"/>
          <w:szCs w:val="22"/>
        </w:rPr>
      </w:pPr>
      <w:r w:rsidRPr="009301DF">
        <w:rPr>
          <w:rFonts w:ascii="Calibri" w:hAnsi="Calibri"/>
          <w:color w:val="FFFFFF"/>
          <w:sz w:val="22"/>
        </w:rPr>
        <w:t>Bieżąca weryfikacja</w:t>
      </w:r>
    </w:p>
    <w:p w14:paraId="1D5F03AF" w14:textId="77777777" w:rsidR="00632C48" w:rsidRPr="009301DF" w:rsidRDefault="005F6F63">
      <w:pPr>
        <w:pStyle w:val="Podpisobrazu0"/>
        <w:framePr w:wrap="none" w:vAnchor="page" w:hAnchor="page" w:x="8355" w:y="3667"/>
        <w:pBdr>
          <w:top w:val="single" w:sz="0" w:space="0" w:color="4284D3"/>
          <w:left w:val="single" w:sz="0" w:space="0" w:color="4284D3"/>
          <w:bottom w:val="single" w:sz="0" w:space="0" w:color="4284D3"/>
          <w:right w:val="single" w:sz="0" w:space="0" w:color="4284D3"/>
        </w:pBdr>
        <w:shd w:val="clear" w:color="auto" w:fill="4284D3"/>
        <w:spacing w:after="0"/>
      </w:pPr>
      <w:r w:rsidRPr="009301DF">
        <w:rPr>
          <w:rFonts w:ascii="Calibri" w:hAnsi="Calibri"/>
          <w:color w:val="FFFFFF"/>
        </w:rPr>
        <w:t>Ponowna ocena</w:t>
      </w:r>
    </w:p>
    <w:p w14:paraId="611D0D6A" w14:textId="18BF2D68"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W ciągu pierwszych 90 dni zakład:</w:t>
      </w:r>
    </w:p>
    <w:p w14:paraId="3298883B" w14:textId="4CE56B61"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Zidentyfikował wsparcie naukowe lub techniczne. Carpenter et al. 2011. Meat Sci: 88.</w:t>
      </w:r>
    </w:p>
    <w:p w14:paraId="75E2A132" w14:textId="1855532A"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Zidentyfikował krytyczne parametry operacyjne działania interwencyjnego</w:t>
      </w:r>
    </w:p>
    <w:p w14:paraId="124F0170" w14:textId="72A5EF90"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Stężenie: 2% kwa</w:t>
      </w:r>
      <w:r w:rsidR="000B6ED1" w:rsidRPr="00A87360">
        <w:rPr>
          <w:rFonts w:ascii="Calibri" w:hAnsi="Calibri"/>
          <w:sz w:val="19"/>
          <w:szCs w:val="19"/>
        </w:rPr>
        <w:t>s</w:t>
      </w:r>
      <w:r w:rsidRPr="00A87360">
        <w:rPr>
          <w:rFonts w:ascii="Calibri" w:hAnsi="Calibri"/>
          <w:sz w:val="19"/>
          <w:szCs w:val="19"/>
        </w:rPr>
        <w:t xml:space="preserve"> mlekowy</w:t>
      </w:r>
    </w:p>
    <w:p w14:paraId="7BF6EC57" w14:textId="4A3081A6"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Czas przebywania: 20s</w:t>
      </w:r>
    </w:p>
    <w:p w14:paraId="4AD5D0D2" w14:textId="5F451D28"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Ciśnienie: 20 psi</w:t>
      </w:r>
    </w:p>
    <w:p w14:paraId="07B8F504" w14:textId="77777777"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Temperatura: 55°C</w:t>
      </w:r>
    </w:p>
    <w:p w14:paraId="5D9C3D12" w14:textId="797C6830"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Sprzęt: szafka CHAD</w:t>
      </w:r>
    </w:p>
    <w:p w14:paraId="4DDFB23B" w14:textId="34B5DF6A"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Pełne pokrycie</w:t>
      </w:r>
    </w:p>
    <w:p w14:paraId="19C56158" w14:textId="4048C797" w:rsidR="00632C48" w:rsidRPr="00A87360" w:rsidRDefault="005F6F63" w:rsidP="00A87360">
      <w:pPr>
        <w:pStyle w:val="Podpisobrazu0"/>
        <w:framePr w:w="1814" w:h="8814" w:hRule="exact" w:wrap="none" w:vAnchor="page" w:hAnchor="page" w:x="2240" w:y="4474"/>
        <w:numPr>
          <w:ilvl w:val="0"/>
          <w:numId w:val="6"/>
        </w:numPr>
        <w:spacing w:after="0" w:line="211" w:lineRule="auto"/>
        <w:ind w:left="284" w:hanging="284"/>
        <w:rPr>
          <w:rFonts w:ascii="Calibri" w:hAnsi="Calibri"/>
          <w:sz w:val="19"/>
          <w:szCs w:val="19"/>
        </w:rPr>
      </w:pPr>
      <w:r w:rsidRPr="00A87360">
        <w:rPr>
          <w:rFonts w:ascii="Calibri" w:hAnsi="Calibri"/>
          <w:sz w:val="19"/>
          <w:szCs w:val="19"/>
        </w:rPr>
        <w:t>Wykazano spełnienie krytycznych parametrów operacyjnych</w:t>
      </w:r>
    </w:p>
    <w:p w14:paraId="443433A0" w14:textId="431DBCC7" w:rsidR="00632C48" w:rsidRPr="009301DF" w:rsidRDefault="005F6F63" w:rsidP="00A87360">
      <w:pPr>
        <w:pStyle w:val="Podpisobrazu0"/>
        <w:framePr w:w="1814" w:h="8814" w:hRule="exact" w:wrap="none" w:vAnchor="page" w:hAnchor="page" w:x="2240" w:y="4474"/>
        <w:numPr>
          <w:ilvl w:val="0"/>
          <w:numId w:val="6"/>
        </w:numPr>
        <w:spacing w:after="0" w:line="211" w:lineRule="auto"/>
        <w:ind w:left="284" w:hanging="284"/>
        <w:rPr>
          <w:sz w:val="20"/>
          <w:szCs w:val="20"/>
        </w:rPr>
      </w:pPr>
      <w:r w:rsidRPr="00A87360">
        <w:rPr>
          <w:rFonts w:ascii="Calibri" w:hAnsi="Calibri"/>
          <w:sz w:val="19"/>
          <w:szCs w:val="19"/>
        </w:rPr>
        <w:t>Do rejestracji krytycznych parametrów operacyjnych użyto arkusza roboczego Trim Spray Cabin</w:t>
      </w:r>
      <w:r w:rsidRPr="009301DF">
        <w:rPr>
          <w:rFonts w:ascii="Calibri" w:hAnsi="Calibri"/>
          <w:sz w:val="20"/>
        </w:rPr>
        <w:t>et.</w:t>
      </w:r>
    </w:p>
    <w:p w14:paraId="21AD65FB" w14:textId="66DFFEB9" w:rsidR="00632C48" w:rsidRPr="00A87360" w:rsidRDefault="005F6F63" w:rsidP="00A87360">
      <w:pPr>
        <w:pStyle w:val="Podpisobrazu0"/>
        <w:framePr w:w="1829" w:h="8906" w:hRule="exact" w:wrap="none" w:vAnchor="page" w:hAnchor="page" w:x="5538" w:y="4474"/>
        <w:numPr>
          <w:ilvl w:val="0"/>
          <w:numId w:val="6"/>
        </w:numPr>
        <w:spacing w:after="0" w:line="211" w:lineRule="auto"/>
        <w:ind w:left="284" w:hanging="284"/>
        <w:rPr>
          <w:rFonts w:ascii="Calibri" w:eastAsia="Calibri" w:hAnsi="Calibri" w:cs="Calibri"/>
          <w:sz w:val="19"/>
          <w:szCs w:val="19"/>
        </w:rPr>
      </w:pPr>
      <w:r w:rsidRPr="00A87360">
        <w:rPr>
          <w:rFonts w:ascii="Calibri" w:hAnsi="Calibri"/>
          <w:sz w:val="19"/>
          <w:szCs w:val="19"/>
        </w:rPr>
        <w:t>W dniu 91 i kolejnych zakład zdecydował się w ramach KPK monitorować krytyczne parametry operacyjne.</w:t>
      </w:r>
    </w:p>
    <w:p w14:paraId="142E1465" w14:textId="3A3BF6A5" w:rsidR="00632C48" w:rsidRPr="00A87360" w:rsidRDefault="005F6F63" w:rsidP="00A87360">
      <w:pPr>
        <w:pStyle w:val="Podpisobrazu0"/>
        <w:framePr w:w="1829" w:h="8906" w:hRule="exact" w:wrap="none" w:vAnchor="page" w:hAnchor="page" w:x="5538" w:y="4474"/>
        <w:numPr>
          <w:ilvl w:val="0"/>
          <w:numId w:val="6"/>
        </w:numPr>
        <w:spacing w:after="0" w:line="211" w:lineRule="auto"/>
        <w:ind w:left="284" w:hanging="284"/>
        <w:rPr>
          <w:sz w:val="19"/>
          <w:szCs w:val="19"/>
        </w:rPr>
      </w:pPr>
      <w:r w:rsidRPr="00A87360">
        <w:rPr>
          <w:rFonts w:ascii="Calibri" w:hAnsi="Calibri"/>
          <w:sz w:val="19"/>
          <w:szCs w:val="19"/>
        </w:rPr>
        <w:t>Zakład prowadził bieżące działania weryfikacyjne związane z monitorowanymi parametrami, w tym kalibrację, bezpośrednią obserwację i przegląd dokumentacji. Ponadto zakład, biorąc pod uwagę objętość, zdecydował się na przeprowadzanie bieżących testów weryfikacyjnych E. coli O157:H7 w obrzynkach co kwartał. Zakład pobierał próbki obrzynek po odpowiednim czasie ociekania środków przeciwdrobnoustrojowych i zwiększył częstotliwość badań w miesiącach o wysokiej częstości występowania bakterii.</w:t>
      </w:r>
    </w:p>
    <w:p w14:paraId="46D121BC" w14:textId="10B5B7BD" w:rsidR="00632C48" w:rsidRPr="009301DF" w:rsidRDefault="005F6F63" w:rsidP="00A87360">
      <w:pPr>
        <w:pStyle w:val="Podpisobrazu0"/>
        <w:framePr w:w="1814" w:h="9113" w:hRule="exact" w:wrap="none" w:vAnchor="page" w:hAnchor="page" w:x="8826" w:y="4445"/>
        <w:numPr>
          <w:ilvl w:val="0"/>
          <w:numId w:val="6"/>
        </w:numPr>
        <w:spacing w:after="0" w:line="211" w:lineRule="auto"/>
        <w:ind w:left="284" w:hanging="284"/>
        <w:rPr>
          <w:sz w:val="22"/>
          <w:szCs w:val="22"/>
        </w:rPr>
      </w:pPr>
      <w:r w:rsidRPr="00A87360">
        <w:rPr>
          <w:rFonts w:ascii="Calibri" w:hAnsi="Calibri"/>
          <w:sz w:val="19"/>
          <w:szCs w:val="19"/>
        </w:rPr>
        <w:t>Podczas corocznej ponownej oceny zakład przeanalizował zapisy wygenerowane podczas bieżącej weryfikacji za ubiegły rok. Ponieważ nie było żadnych wyników odbiegających od normy, a krytyczne parametry operacyjne interwencji były konsekwentnie spełniane, zakład ustalił, że system HACCP działa zgodnie z przeznaczeniem i będzie kontynuował prowadzenie bieżącej weryfikacji z obecną częstotliwością</w:t>
      </w:r>
      <w:r w:rsidRPr="009301DF">
        <w:rPr>
          <w:rFonts w:ascii="Calibri" w:hAnsi="Calibri"/>
          <w:sz w:val="22"/>
        </w:rPr>
        <w:t>.</w:t>
      </w:r>
    </w:p>
    <w:p w14:paraId="6008083B" w14:textId="77777777" w:rsidR="00632C48" w:rsidRPr="00A87360" w:rsidRDefault="005F6F63" w:rsidP="00A87360">
      <w:pPr>
        <w:pStyle w:val="Podpisobrazu0"/>
        <w:framePr w:w="3537" w:wrap="none" w:vAnchor="page" w:hAnchor="page" w:x="6407" w:y="14448"/>
        <w:spacing w:after="0"/>
        <w:rPr>
          <w:sz w:val="16"/>
          <w:szCs w:val="16"/>
        </w:rPr>
      </w:pPr>
      <w:r w:rsidRPr="00A87360">
        <w:rPr>
          <w:sz w:val="16"/>
          <w:szCs w:val="20"/>
        </w:rPr>
        <w:t>Ponowna ocena nie przyniosła żadnych zmian</w:t>
      </w:r>
    </w:p>
    <w:p w14:paraId="2F309E98" w14:textId="1449BBB6"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4" behindDoc="1" locked="0" layoutInCell="1" allowOverlap="1" wp14:anchorId="2656A577" wp14:editId="3567EEC0">
            <wp:simplePos x="0" y="0"/>
            <wp:positionH relativeFrom="page">
              <wp:posOffset>946150</wp:posOffset>
            </wp:positionH>
            <wp:positionV relativeFrom="page">
              <wp:posOffset>2105660</wp:posOffset>
            </wp:positionV>
            <wp:extent cx="6013450" cy="7321550"/>
            <wp:effectExtent l="0" t="0" r="0" b="0"/>
            <wp:wrapNone/>
            <wp:docPr id="29" name="Shape 29"/>
            <wp:cNvGraphicFramePr/>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59"/>
                    <a:stretch/>
                  </pic:blipFill>
                  <pic:spPr>
                    <a:xfrm>
                      <a:off x="0" y="0"/>
                      <a:ext cx="6013450" cy="7321550"/>
                    </a:xfrm>
                    <a:prstGeom prst="rect">
                      <a:avLst/>
                    </a:prstGeom>
                  </pic:spPr>
                </pic:pic>
              </a:graphicData>
            </a:graphic>
          </wp:anchor>
        </w:drawing>
      </w:r>
    </w:p>
    <w:p w14:paraId="7740FAEB" w14:textId="77777777" w:rsidR="00632C48" w:rsidRPr="009301DF" w:rsidRDefault="00632C48">
      <w:pPr>
        <w:spacing w:line="1" w:lineRule="exact"/>
      </w:pPr>
    </w:p>
    <w:p w14:paraId="12E6F113" w14:textId="77777777" w:rsidR="00632C48" w:rsidRPr="00D120ED" w:rsidRDefault="005F6F63" w:rsidP="00D120ED">
      <w:pPr>
        <w:pStyle w:val="Podpisobrazu0"/>
        <w:framePr w:w="9090" w:h="14378" w:hRule="exact" w:wrap="none" w:vAnchor="page" w:hAnchor="page" w:x="973" w:y="969"/>
        <w:spacing w:after="200" w:line="276" w:lineRule="auto"/>
        <w:rPr>
          <w:sz w:val="22"/>
          <w:szCs w:val="22"/>
        </w:rPr>
      </w:pPr>
      <w:r w:rsidRPr="00D120ED">
        <w:rPr>
          <w:sz w:val="22"/>
          <w:szCs w:val="22"/>
        </w:rPr>
        <w:t>Samoocena wstępnej walidacji HACCP</w:t>
      </w:r>
    </w:p>
    <w:p w14:paraId="40BB285D" w14:textId="77777777" w:rsidR="00632C48" w:rsidRPr="00D120ED" w:rsidRDefault="005F6F63" w:rsidP="00D120ED">
      <w:pPr>
        <w:pStyle w:val="Podpisobrazu0"/>
        <w:framePr w:w="9090" w:h="14378" w:hRule="exact" w:wrap="none" w:vAnchor="page" w:hAnchor="page" w:x="973" w:y="969"/>
        <w:spacing w:after="200" w:line="276" w:lineRule="auto"/>
        <w:rPr>
          <w:sz w:val="22"/>
          <w:szCs w:val="22"/>
        </w:rPr>
      </w:pPr>
      <w:r w:rsidRPr="00D120ED">
        <w:rPr>
          <w:sz w:val="22"/>
          <w:szCs w:val="22"/>
        </w:rPr>
        <w:t>Czy mój system HACCP:</w:t>
      </w:r>
    </w:p>
    <w:p w14:paraId="6708560B" w14:textId="4FA35B91" w:rsidR="00632C48" w:rsidRPr="00D120ED" w:rsidRDefault="005F6F63" w:rsidP="00D120ED">
      <w:pPr>
        <w:pStyle w:val="Podpisobrazu0"/>
        <w:framePr w:w="9090" w:h="14378" w:hRule="exact" w:wrap="none" w:vAnchor="page" w:hAnchor="page" w:x="973" w:y="969"/>
        <w:numPr>
          <w:ilvl w:val="0"/>
          <w:numId w:val="21"/>
        </w:numPr>
        <w:spacing w:after="0" w:line="276" w:lineRule="auto"/>
        <w:rPr>
          <w:sz w:val="22"/>
          <w:szCs w:val="22"/>
        </w:rPr>
      </w:pPr>
      <w:r w:rsidRPr="00D120ED">
        <w:rPr>
          <w:sz w:val="22"/>
          <w:szCs w:val="22"/>
        </w:rPr>
        <w:t>Zawiera dokumenty potwierdzające dla każdego KPK lub programu warunków wstępnych, które są wykorzystywane do wspierania decyzji w mojej analizie zagrożeń?</w:t>
      </w:r>
    </w:p>
    <w:p w14:paraId="45D9D12B" w14:textId="0722FB7A" w:rsidR="00632C48" w:rsidRPr="00D120ED" w:rsidRDefault="005F6F63" w:rsidP="00D120ED">
      <w:pPr>
        <w:pStyle w:val="Podpisobrazu0"/>
        <w:framePr w:w="9090" w:h="14378" w:hRule="exact" w:wrap="none" w:vAnchor="page" w:hAnchor="page" w:x="973" w:y="969"/>
        <w:numPr>
          <w:ilvl w:val="0"/>
          <w:numId w:val="21"/>
        </w:numPr>
        <w:spacing w:after="0" w:line="276" w:lineRule="auto"/>
        <w:rPr>
          <w:sz w:val="22"/>
          <w:szCs w:val="22"/>
        </w:rPr>
      </w:pPr>
      <w:r w:rsidRPr="00D120ED">
        <w:rPr>
          <w:sz w:val="22"/>
          <w:szCs w:val="22"/>
        </w:rPr>
        <w:t>Zawiera dokumenty pomocnicze, które w wystarczającym stopniu odnoszą się do mojego produktu/procesu?</w:t>
      </w:r>
    </w:p>
    <w:p w14:paraId="503A2B0C" w14:textId="64162BD8" w:rsidR="00632C48" w:rsidRPr="00D120ED" w:rsidRDefault="005F6F63" w:rsidP="00D120ED">
      <w:pPr>
        <w:pStyle w:val="Podpisobrazu0"/>
        <w:framePr w:w="9090" w:h="14378" w:hRule="exact" w:wrap="none" w:vAnchor="page" w:hAnchor="page" w:x="973" w:y="969"/>
        <w:numPr>
          <w:ilvl w:val="0"/>
          <w:numId w:val="21"/>
        </w:numPr>
        <w:spacing w:after="0" w:line="276" w:lineRule="auto"/>
        <w:rPr>
          <w:sz w:val="22"/>
          <w:szCs w:val="22"/>
        </w:rPr>
      </w:pPr>
      <w:r w:rsidRPr="00D120ED">
        <w:rPr>
          <w:sz w:val="22"/>
          <w:szCs w:val="22"/>
        </w:rPr>
        <w:t>Zidentyfikował krytyczne parametry operacyjne na podstawie dokumentów pomocniczych wykorzystanych jako wsparcie naukowe lub techniczne?</w:t>
      </w:r>
    </w:p>
    <w:p w14:paraId="62924FB0" w14:textId="419CE3F9" w:rsidR="00632C48" w:rsidRPr="00D120ED" w:rsidRDefault="005F6F63" w:rsidP="00D120ED">
      <w:pPr>
        <w:pStyle w:val="Podpisobrazu0"/>
        <w:framePr w:w="9090" w:h="14378" w:hRule="exact" w:wrap="none" w:vAnchor="page" w:hAnchor="page" w:x="973" w:y="969"/>
        <w:numPr>
          <w:ilvl w:val="0"/>
          <w:numId w:val="21"/>
        </w:numPr>
        <w:spacing w:after="0" w:line="276" w:lineRule="auto"/>
        <w:rPr>
          <w:sz w:val="22"/>
          <w:szCs w:val="22"/>
        </w:rPr>
      </w:pPr>
      <w:r w:rsidRPr="00D120ED">
        <w:rPr>
          <w:sz w:val="22"/>
          <w:szCs w:val="22"/>
        </w:rPr>
        <w:t>Zawiera krytyczne parametry operacyjne, które są zgodne z przywołanym dokumentem pomocniczym?</w:t>
      </w:r>
    </w:p>
    <w:p w14:paraId="2207F519" w14:textId="3AE28D84" w:rsidR="00632C48" w:rsidRPr="00D120ED" w:rsidRDefault="005F6F63" w:rsidP="00D120ED">
      <w:pPr>
        <w:pStyle w:val="Podpisobrazu0"/>
        <w:framePr w:w="9090" w:h="14378" w:hRule="exact" w:wrap="none" w:vAnchor="page" w:hAnchor="page" w:x="973" w:y="969"/>
        <w:numPr>
          <w:ilvl w:val="0"/>
          <w:numId w:val="21"/>
        </w:numPr>
        <w:spacing w:after="0" w:line="276" w:lineRule="auto"/>
        <w:rPr>
          <w:sz w:val="22"/>
          <w:szCs w:val="22"/>
        </w:rPr>
      </w:pPr>
      <w:r w:rsidRPr="00D120ED">
        <w:rPr>
          <w:sz w:val="22"/>
          <w:szCs w:val="22"/>
        </w:rPr>
        <w:t>Zawiera krytyczne parametry operacyjne które wspierają, a nie zaprzeczają wybranemu krytycznemu parametrowi operacyjnemu, jeśli używanych jest wiele wspierających odniesień?</w:t>
      </w:r>
    </w:p>
    <w:p w14:paraId="2652719D" w14:textId="205BD46D" w:rsidR="00632C48" w:rsidRPr="00D120ED" w:rsidRDefault="005F6F63" w:rsidP="00D120ED">
      <w:pPr>
        <w:pStyle w:val="Podpisobrazu0"/>
        <w:framePr w:w="9090" w:h="14378" w:hRule="exact" w:wrap="none" w:vAnchor="page" w:hAnchor="page" w:x="973" w:y="969"/>
        <w:numPr>
          <w:ilvl w:val="0"/>
          <w:numId w:val="21"/>
        </w:numPr>
        <w:shd w:val="clear" w:color="auto" w:fill="E9F0F8"/>
        <w:spacing w:after="0" w:line="276" w:lineRule="auto"/>
        <w:rPr>
          <w:sz w:val="22"/>
          <w:szCs w:val="22"/>
        </w:rPr>
      </w:pPr>
      <w:r w:rsidRPr="00D120ED">
        <w:rPr>
          <w:sz w:val="22"/>
          <w:szCs w:val="22"/>
        </w:rPr>
        <w:t>Zawiera dane z walidacji w zakładzie z 90 dni kalendarzowych (zob. strony 26-27 w celu zapoznania się z oczekiwaniami dotyczącymi równoważnej liczby dni produkcyjnych) dokumentujące wdrożenie krytycznych parametrów operacyjnych dla co najmniej jednego produktu w ramach każdej kategorii HACCP?</w:t>
      </w:r>
    </w:p>
    <w:p w14:paraId="43DD49FC" w14:textId="7DF11A68" w:rsidR="00632C48" w:rsidRPr="00D120ED" w:rsidRDefault="005F6F63" w:rsidP="00D120ED">
      <w:pPr>
        <w:pStyle w:val="Podpisobrazu0"/>
        <w:framePr w:w="9090" w:h="14378" w:hRule="exact" w:wrap="none" w:vAnchor="page" w:hAnchor="page" w:x="973" w:y="969"/>
        <w:numPr>
          <w:ilvl w:val="0"/>
          <w:numId w:val="21"/>
        </w:numPr>
        <w:shd w:val="clear" w:color="auto" w:fill="E9F0F8"/>
        <w:spacing w:after="0" w:line="276" w:lineRule="auto"/>
        <w:rPr>
          <w:sz w:val="22"/>
          <w:szCs w:val="22"/>
        </w:rPr>
      </w:pPr>
      <w:r w:rsidRPr="00D120ED">
        <w:rPr>
          <w:sz w:val="22"/>
          <w:szCs w:val="22"/>
        </w:rPr>
        <w:t>Zawiera dane z walidacji systemu HACCP w zakładzie dla co najmniej jednego produktu w ramach każdej kategorii HACCP, które zostały zweryfikowane i uznane za akceptowalne przez zespół HACCP w celu potwierdzenia, że proces został zwalidowany przez zespół HACCP lub inną grupę odpowiedzialną za bezpieczeństwo żywności?</w:t>
      </w:r>
    </w:p>
    <w:p w14:paraId="1B6C19FF" w14:textId="258F0C8E" w:rsidR="00632C48" w:rsidRPr="00D120ED" w:rsidRDefault="005F6F63" w:rsidP="00D120ED">
      <w:pPr>
        <w:pStyle w:val="Podpisobrazu0"/>
        <w:framePr w:w="9090" w:h="14378" w:hRule="exact" w:wrap="none" w:vAnchor="page" w:hAnchor="page" w:x="973" w:y="969"/>
        <w:numPr>
          <w:ilvl w:val="0"/>
          <w:numId w:val="21"/>
        </w:numPr>
        <w:shd w:val="clear" w:color="auto" w:fill="E9F0F8"/>
        <w:spacing w:after="200" w:line="276" w:lineRule="auto"/>
        <w:rPr>
          <w:sz w:val="22"/>
          <w:szCs w:val="22"/>
        </w:rPr>
      </w:pPr>
      <w:r w:rsidRPr="00D120ED">
        <w:rPr>
          <w:sz w:val="22"/>
          <w:szCs w:val="22"/>
        </w:rPr>
        <w:t>Zawiera dodatkowe dane badawcze wykazujące skuteczność procesu w przypadkach, w których krytyczne parametry operacyjne nie były przestrzegane?</w:t>
      </w:r>
    </w:p>
    <w:p w14:paraId="1D2E1020" w14:textId="77777777" w:rsidR="00632C48" w:rsidRPr="00D120ED" w:rsidRDefault="005F6F63" w:rsidP="00D120ED">
      <w:pPr>
        <w:pStyle w:val="Podpisobrazu0"/>
        <w:framePr w:w="9090" w:h="14378" w:hRule="exact" w:wrap="none" w:vAnchor="page" w:hAnchor="page" w:x="973" w:y="969"/>
        <w:shd w:val="clear" w:color="auto" w:fill="E9F0F8"/>
        <w:rPr>
          <w:sz w:val="22"/>
          <w:szCs w:val="22"/>
        </w:rPr>
      </w:pPr>
      <w:r w:rsidRPr="00D120ED">
        <w:rPr>
          <w:sz w:val="22"/>
          <w:szCs w:val="22"/>
        </w:rPr>
        <w:t>Dla każdej kategorii HACCP należy zidentyfikować co najmniej jeden produkt z kategorii, dla której gromadzone są dane demonstracyjne w zakładzie i wypełnić arkusz walidacji dla takiego produktu zawierający następujące informacje. Przykłady można znaleźć w Dodatku 4.</w:t>
      </w:r>
    </w:p>
    <w:p w14:paraId="0B2D4FDB" w14:textId="77777777" w:rsidR="00632C48" w:rsidRPr="00D120ED" w:rsidRDefault="005F6F63" w:rsidP="00D120ED">
      <w:pPr>
        <w:pStyle w:val="Podpisobrazu0"/>
        <w:framePr w:w="9090" w:h="14378" w:hRule="exact" w:wrap="none" w:vAnchor="page" w:hAnchor="page" w:x="973" w:y="969"/>
        <w:shd w:val="clear" w:color="auto" w:fill="E9F0F8"/>
        <w:spacing w:after="200" w:line="276" w:lineRule="auto"/>
        <w:rPr>
          <w:sz w:val="22"/>
          <w:szCs w:val="22"/>
        </w:rPr>
      </w:pPr>
      <w:r w:rsidRPr="00D120ED">
        <w:rPr>
          <w:sz w:val="22"/>
          <w:szCs w:val="22"/>
          <w:u w:val="single"/>
        </w:rPr>
        <w:t>Produkt</w:t>
      </w:r>
      <w:r w:rsidRPr="00D120ED">
        <w:rPr>
          <w:sz w:val="22"/>
          <w:szCs w:val="22"/>
        </w:rPr>
        <w:t>: Nazwa typu planu HACCP lub kategorii produktu.</w:t>
      </w:r>
    </w:p>
    <w:p w14:paraId="645D28D2" w14:textId="77777777" w:rsidR="00632C48" w:rsidRPr="00D120ED" w:rsidRDefault="005F6F63" w:rsidP="00D120ED">
      <w:pPr>
        <w:pStyle w:val="Podpisobrazu0"/>
        <w:framePr w:w="9090" w:h="14378" w:hRule="exact" w:wrap="none" w:vAnchor="page" w:hAnchor="page" w:x="973" w:y="969"/>
        <w:shd w:val="clear" w:color="auto" w:fill="E9F0F8"/>
        <w:rPr>
          <w:sz w:val="22"/>
          <w:szCs w:val="22"/>
        </w:rPr>
      </w:pPr>
      <w:r w:rsidRPr="00D120ED">
        <w:rPr>
          <w:sz w:val="22"/>
          <w:szCs w:val="22"/>
          <w:u w:val="single"/>
        </w:rPr>
        <w:t>Zagrożenie</w:t>
      </w:r>
      <w:r w:rsidRPr="00D120ED">
        <w:rPr>
          <w:sz w:val="22"/>
          <w:szCs w:val="22"/>
        </w:rPr>
        <w:t>: Nazwa zagrożenia. Powinna to być ta sama treść, która znajduje się w analizie zagrożeń.</w:t>
      </w:r>
    </w:p>
    <w:p w14:paraId="64F3FD31" w14:textId="77777777" w:rsidR="00632C48" w:rsidRPr="00D120ED" w:rsidRDefault="005F6F63" w:rsidP="00D120ED">
      <w:pPr>
        <w:pStyle w:val="Podpisobrazu0"/>
        <w:framePr w:w="9090" w:h="14378" w:hRule="exact" w:wrap="none" w:vAnchor="page" w:hAnchor="page" w:x="973" w:y="969"/>
        <w:shd w:val="clear" w:color="auto" w:fill="E9F0F8"/>
        <w:spacing w:after="200" w:line="276" w:lineRule="auto"/>
        <w:rPr>
          <w:sz w:val="22"/>
          <w:szCs w:val="22"/>
        </w:rPr>
      </w:pPr>
      <w:r w:rsidRPr="00D120ED">
        <w:rPr>
          <w:sz w:val="22"/>
          <w:szCs w:val="22"/>
          <w:u w:val="single"/>
        </w:rPr>
        <w:t>Proces</w:t>
      </w:r>
      <w:r w:rsidRPr="00D120ED">
        <w:rPr>
          <w:sz w:val="22"/>
          <w:szCs w:val="22"/>
        </w:rPr>
        <w:t>: Nazwa etapu przetwarzania lub programu warunków wstępnych, który odnosi się do zagrożenia.</w:t>
      </w:r>
    </w:p>
    <w:p w14:paraId="7F453922" w14:textId="77777777" w:rsidR="00632C48" w:rsidRPr="00D120ED" w:rsidRDefault="005F6F63" w:rsidP="00D120ED">
      <w:pPr>
        <w:pStyle w:val="Podpisobrazu0"/>
        <w:framePr w:w="9090" w:h="14378" w:hRule="exact" w:wrap="none" w:vAnchor="page" w:hAnchor="page" w:x="973" w:y="969"/>
        <w:shd w:val="clear" w:color="auto" w:fill="E9F0F8"/>
        <w:rPr>
          <w:sz w:val="22"/>
          <w:szCs w:val="22"/>
        </w:rPr>
      </w:pPr>
      <w:r w:rsidRPr="00D120ED">
        <w:rPr>
          <w:sz w:val="22"/>
          <w:szCs w:val="22"/>
          <w:u w:val="single"/>
        </w:rPr>
        <w:t>Krytyczne parametry operacyjne</w:t>
      </w:r>
      <w:r w:rsidRPr="00D120ED">
        <w:rPr>
          <w:sz w:val="22"/>
          <w:szCs w:val="22"/>
        </w:rPr>
        <w:t>: Odnosi się do limitów krytycznych lub innych parametrów wymienionych we wsparciu naukowym lub technicznym niezbędnych do skutecznego wykonania etapu procesu lub programu.</w:t>
      </w:r>
    </w:p>
    <w:p w14:paraId="1DADC29E" w14:textId="77777777" w:rsidR="00632C48" w:rsidRPr="00D120ED" w:rsidRDefault="005F6F63" w:rsidP="00D120ED">
      <w:pPr>
        <w:pStyle w:val="Podpisobrazu0"/>
        <w:framePr w:w="9090" w:h="14378" w:hRule="exact" w:wrap="none" w:vAnchor="page" w:hAnchor="page" w:x="973" w:y="969"/>
        <w:shd w:val="clear" w:color="auto" w:fill="E9F0F8"/>
        <w:spacing w:after="0"/>
        <w:rPr>
          <w:sz w:val="22"/>
          <w:szCs w:val="22"/>
        </w:rPr>
      </w:pPr>
      <w:r w:rsidRPr="00D120ED">
        <w:rPr>
          <w:sz w:val="22"/>
          <w:szCs w:val="22"/>
        </w:rPr>
        <w:t>Walidacja:</w:t>
      </w:r>
    </w:p>
    <w:p w14:paraId="2E0FE537" w14:textId="77777777" w:rsidR="00632C48" w:rsidRPr="00D120ED" w:rsidRDefault="005F6F63" w:rsidP="00D120ED">
      <w:pPr>
        <w:pStyle w:val="Podpisobrazu0"/>
        <w:framePr w:w="9090" w:h="14378" w:hRule="exact" w:wrap="none" w:vAnchor="page" w:hAnchor="page" w:x="973" w:y="969"/>
        <w:shd w:val="clear" w:color="auto" w:fill="E9F0F8"/>
        <w:rPr>
          <w:sz w:val="22"/>
          <w:szCs w:val="22"/>
        </w:rPr>
      </w:pPr>
      <w:r w:rsidRPr="00D120ED">
        <w:rPr>
          <w:i/>
          <w:iCs/>
          <w:sz w:val="22"/>
          <w:szCs w:val="22"/>
        </w:rPr>
        <w:t>Wsparcie naukowe lub techniczne</w:t>
      </w:r>
      <w:r w:rsidRPr="00D120ED">
        <w:rPr>
          <w:sz w:val="22"/>
          <w:szCs w:val="22"/>
        </w:rPr>
        <w:t xml:space="preserve"> - należy podać odniesienia do dokumentów wsparcia naukowego lub technicznego oraz numery stron, na których opisano krytyczne parametry operacyjne.</w:t>
      </w:r>
    </w:p>
    <w:p w14:paraId="32D94333" w14:textId="77777777" w:rsidR="00632C48" w:rsidRPr="00D120ED" w:rsidRDefault="005F6F63" w:rsidP="00D120ED">
      <w:pPr>
        <w:pStyle w:val="Podpisobrazu0"/>
        <w:framePr w:w="9090" w:h="14378" w:hRule="exact" w:wrap="none" w:vAnchor="page" w:hAnchor="page" w:x="973" w:y="969"/>
        <w:shd w:val="clear" w:color="auto" w:fill="E9F0F8"/>
        <w:spacing w:after="0"/>
        <w:rPr>
          <w:sz w:val="22"/>
          <w:szCs w:val="22"/>
        </w:rPr>
      </w:pPr>
      <w:r w:rsidRPr="00D120ED">
        <w:rPr>
          <w:i/>
          <w:iCs/>
          <w:sz w:val="22"/>
          <w:szCs w:val="22"/>
        </w:rPr>
        <w:t>Wewnątrzzakładowe dane walidacyjne</w:t>
      </w:r>
      <w:r w:rsidRPr="00D120ED">
        <w:rPr>
          <w:sz w:val="22"/>
          <w:szCs w:val="22"/>
        </w:rPr>
        <w:t xml:space="preserve"> - należy podać nazwy dokumentów monitorowania lub innych zapisów, w których zebrano obserwacje, w tym ramy czasowe.</w:t>
      </w:r>
    </w:p>
    <w:p w14:paraId="53F3DBA9"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5" behindDoc="1" locked="0" layoutInCell="1" allowOverlap="1" wp14:anchorId="2FFF049A" wp14:editId="65604755">
            <wp:simplePos x="0" y="0"/>
            <wp:positionH relativeFrom="page">
              <wp:posOffset>495300</wp:posOffset>
            </wp:positionH>
            <wp:positionV relativeFrom="page">
              <wp:posOffset>581660</wp:posOffset>
            </wp:positionV>
            <wp:extent cx="6821170" cy="9250680"/>
            <wp:effectExtent l="0" t="0" r="0" b="0"/>
            <wp:wrapNone/>
            <wp:docPr id="31" name="Shape 31"/>
            <wp:cNvGraphicFramePr/>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60"/>
                    <a:stretch/>
                  </pic:blipFill>
                  <pic:spPr>
                    <a:xfrm>
                      <a:off x="0" y="0"/>
                      <a:ext cx="6821170" cy="9250680"/>
                    </a:xfrm>
                    <a:prstGeom prst="rect">
                      <a:avLst/>
                    </a:prstGeom>
                  </pic:spPr>
                </pic:pic>
              </a:graphicData>
            </a:graphic>
          </wp:anchor>
        </w:drawing>
      </w:r>
    </w:p>
    <w:p w14:paraId="4D3EBDF5" w14:textId="77777777" w:rsidR="00632C48" w:rsidRPr="009301DF" w:rsidRDefault="00632C48">
      <w:pPr>
        <w:spacing w:line="1" w:lineRule="exact"/>
      </w:pPr>
    </w:p>
    <w:p w14:paraId="7B0A387E" w14:textId="77777777" w:rsidR="00632C48" w:rsidRPr="009301DF" w:rsidRDefault="005F6F63" w:rsidP="007C1C8A">
      <w:pPr>
        <w:pStyle w:val="Nagwek10"/>
        <w:framePr w:w="9365" w:h="14611" w:hRule="exact" w:wrap="none" w:vAnchor="page" w:hAnchor="page" w:x="1482" w:y="766"/>
      </w:pPr>
      <w:bookmarkStart w:id="17" w:name="bookmark31"/>
      <w:r w:rsidRPr="009301DF">
        <w:t>Literatura</w:t>
      </w:r>
      <w:bookmarkEnd w:id="17"/>
    </w:p>
    <w:p w14:paraId="52262778" w14:textId="77777777" w:rsidR="00632C48" w:rsidRPr="00A371E8" w:rsidRDefault="005F6F63" w:rsidP="007C1C8A">
      <w:pPr>
        <w:pStyle w:val="Teksttreci0"/>
        <w:framePr w:w="9365" w:h="14611" w:hRule="exact" w:wrap="none" w:vAnchor="page" w:hAnchor="page" w:x="1482" w:y="766"/>
        <w:rPr>
          <w:lang w:val="en-US"/>
        </w:rPr>
      </w:pPr>
      <w:r w:rsidRPr="009301DF">
        <w:t>FSIS. 1996. Redukcja patogenów; Systemy analizy zagrożeń i krytycznych punktów kontroli (HACCP): Zasada końcowa (</w:t>
      </w:r>
      <w:r w:rsidRPr="009301DF">
        <w:rPr>
          <w:i/>
          <w:iCs/>
        </w:rPr>
        <w:t>Pathogen Reduction; Hazard Analysis Critical Control Point (HACCP) Systems: Final Rule</w:t>
      </w:r>
      <w:r w:rsidRPr="009301DF">
        <w:t xml:space="preserve">). </w:t>
      </w:r>
      <w:r w:rsidRPr="00A371E8">
        <w:rPr>
          <w:lang w:val="en-US"/>
        </w:rPr>
        <w:t>9 CFR Part 304 et al., Federal Register 61(144), 38805-38989.</w:t>
      </w:r>
    </w:p>
    <w:p w14:paraId="1CC4FD70" w14:textId="77777777" w:rsidR="00632C48" w:rsidRPr="00A371E8" w:rsidRDefault="005F6F63" w:rsidP="007C1C8A">
      <w:pPr>
        <w:pStyle w:val="Teksttreci0"/>
        <w:framePr w:w="9365" w:h="14611" w:hRule="exact" w:wrap="none" w:vAnchor="page" w:hAnchor="page" w:x="1482" w:y="766"/>
        <w:spacing w:after="0"/>
        <w:rPr>
          <w:lang w:val="en-US"/>
        </w:rPr>
      </w:pPr>
      <w:r w:rsidRPr="00A371E8">
        <w:rPr>
          <w:lang w:val="en-US"/>
        </w:rPr>
        <w:t>Juneja, V.K., Eblen, B.S., Marks, H.M. 2001. Modelowanie nieliniowych krzywych przeżycia w celu obliczenia inaktywacji termicznej Salmonelli u drobiu o różnym poziomie tłuszczu (</w:t>
      </w:r>
      <w:r w:rsidRPr="00A371E8">
        <w:rPr>
          <w:i/>
          <w:iCs/>
          <w:lang w:val="en-US"/>
        </w:rPr>
        <w:t>Modeling non-linear survival curves to calculate thermal inactivation of Salmonella in poultry of different fat levels</w:t>
      </w:r>
      <w:r w:rsidRPr="00A371E8">
        <w:rPr>
          <w:lang w:val="en-US"/>
        </w:rPr>
        <w:t>). International Journal of Food Microbiology. 70: 37-51.</w:t>
      </w:r>
    </w:p>
    <w:p w14:paraId="4C3B792B" w14:textId="77777777" w:rsidR="00632C48" w:rsidRPr="00A371E8" w:rsidRDefault="00632C48" w:rsidP="007C1C8A">
      <w:pPr>
        <w:pStyle w:val="Teksttreci0"/>
        <w:framePr w:w="9365" w:h="14611" w:hRule="exact" w:wrap="none" w:vAnchor="page" w:hAnchor="page" w:x="1482" w:y="766"/>
        <w:rPr>
          <w:lang w:val="en-US"/>
        </w:rPr>
      </w:pPr>
    </w:p>
    <w:p w14:paraId="20A44B67" w14:textId="77777777" w:rsidR="00632C48" w:rsidRPr="00540146" w:rsidRDefault="005F6F63" w:rsidP="007C1C8A">
      <w:pPr>
        <w:pStyle w:val="Teksttreci0"/>
        <w:framePr w:w="9365" w:h="14611" w:hRule="exact" w:wrap="none" w:vAnchor="page" w:hAnchor="page" w:x="1482" w:y="766"/>
        <w:rPr>
          <w:lang w:val="en-US"/>
        </w:rPr>
      </w:pPr>
      <w:r w:rsidRPr="00A371E8">
        <w:rPr>
          <w:lang w:val="en-US"/>
        </w:rPr>
        <w:t>NACMCF. 1998. Zasady analizy zagrożeń i krytycznych punktów kontroli oraz wytyczne dotyczące ich stosowania (</w:t>
      </w:r>
      <w:r w:rsidRPr="00A371E8">
        <w:rPr>
          <w:i/>
          <w:iCs/>
          <w:lang w:val="en-US"/>
        </w:rPr>
        <w:t>Hazard Analysis and critical control point principles and application guidelines</w:t>
      </w:r>
      <w:r w:rsidRPr="00A371E8">
        <w:rPr>
          <w:lang w:val="en-US"/>
        </w:rPr>
        <w:t xml:space="preserve">). </w:t>
      </w:r>
      <w:r w:rsidRPr="00540146">
        <w:rPr>
          <w:lang w:val="en-US"/>
        </w:rPr>
        <w:t>J. Food Prot. 61-762-775</w:t>
      </w:r>
    </w:p>
    <w:p w14:paraId="59ED6DA8" w14:textId="77777777" w:rsidR="00632C48" w:rsidRPr="00540146" w:rsidRDefault="005F6F63" w:rsidP="007C1C8A">
      <w:pPr>
        <w:pStyle w:val="Teksttreci0"/>
        <w:framePr w:w="9365" w:h="14611" w:hRule="exact" w:wrap="none" w:vAnchor="page" w:hAnchor="page" w:x="1482" w:y="766"/>
        <w:spacing w:after="0"/>
        <w:rPr>
          <w:lang w:val="en-US"/>
        </w:rPr>
      </w:pPr>
      <w:r w:rsidRPr="00540146">
        <w:rPr>
          <w:lang w:val="en-US"/>
        </w:rPr>
        <w:t>Scott, V.N., Stevenson, K.E., &amp; Gombas, D.E. 2006. Procedury weryfikacji (</w:t>
      </w:r>
      <w:r w:rsidRPr="00540146">
        <w:rPr>
          <w:i/>
          <w:iCs/>
          <w:lang w:val="en-US"/>
        </w:rPr>
        <w:t>Verification procedures</w:t>
      </w:r>
      <w:r w:rsidRPr="00540146">
        <w:rPr>
          <w:lang w:val="en-US"/>
        </w:rPr>
        <w:t>). str. 91-98 [w:] Scott, V.N., &amp; Stevenson, K.E. (red.), HACCP - Systemowe podejście do bezpieczeństwa żywności (</w:t>
      </w:r>
      <w:r w:rsidRPr="00540146">
        <w:rPr>
          <w:i/>
          <w:iCs/>
          <w:lang w:val="en-US"/>
        </w:rPr>
        <w:t>A Systematic Approach to Food Safety</w:t>
      </w:r>
      <w:r w:rsidRPr="00540146">
        <w:rPr>
          <w:lang w:val="en-US"/>
        </w:rPr>
        <w:t>), wyd. 4, The Food Products Association, Waszyngton, D.C.</w:t>
      </w:r>
    </w:p>
    <w:p w14:paraId="0494AB90" w14:textId="77777777" w:rsidR="00632C48" w:rsidRPr="00540146" w:rsidRDefault="00632C48" w:rsidP="007C1C8A">
      <w:pPr>
        <w:pStyle w:val="Teksttreci0"/>
        <w:framePr w:w="9365" w:h="14611" w:hRule="exact" w:wrap="none" w:vAnchor="page" w:hAnchor="page" w:x="1482" w:y="766"/>
        <w:rPr>
          <w:lang w:val="en-US"/>
        </w:rPr>
      </w:pPr>
      <w:bookmarkStart w:id="18" w:name="bookmark33"/>
      <w:bookmarkEnd w:id="18"/>
    </w:p>
    <w:p w14:paraId="56866B82" w14:textId="77777777" w:rsidR="00632C48" w:rsidRPr="009301DF" w:rsidRDefault="005F6F63" w:rsidP="007C1C8A">
      <w:pPr>
        <w:pStyle w:val="Nagwek10"/>
        <w:framePr w:w="9365" w:h="14611" w:hRule="exact" w:wrap="none" w:vAnchor="page" w:hAnchor="page" w:x="1482" w:y="766"/>
      </w:pPr>
      <w:r w:rsidRPr="009301DF">
        <w:t>Użyteczne linki</w:t>
      </w:r>
    </w:p>
    <w:p w14:paraId="7DD73CE7" w14:textId="77777777" w:rsidR="00632C48" w:rsidRPr="009301DF" w:rsidRDefault="005F6F63" w:rsidP="007C1C8A">
      <w:pPr>
        <w:pStyle w:val="Teksttreci0"/>
        <w:framePr w:w="9365" w:h="14611" w:hRule="exact" w:wrap="none" w:vAnchor="page" w:hAnchor="page" w:x="1482" w:y="766"/>
      </w:pPr>
      <w:r w:rsidRPr="009301DF">
        <w:t>Food Safety Inspection Service (FSIS) - Służba Bezpieczeństwa i Inspekcji Żywności.</w:t>
      </w:r>
    </w:p>
    <w:p w14:paraId="45487296" w14:textId="77777777" w:rsidR="00632C48" w:rsidRPr="009301DF" w:rsidRDefault="005F6F63" w:rsidP="007C1C8A">
      <w:pPr>
        <w:pStyle w:val="Teksttreci0"/>
        <w:framePr w:w="9365" w:h="14611" w:hRule="exact" w:wrap="none" w:vAnchor="page" w:hAnchor="page" w:x="1482" w:y="766"/>
        <w:spacing w:after="0"/>
      </w:pPr>
      <w:r w:rsidRPr="009301DF">
        <w:t>Strona internetowa dotycząca walidacji HACCP:</w:t>
      </w:r>
    </w:p>
    <w:p w14:paraId="0760CA53" w14:textId="77777777" w:rsidR="00632C48" w:rsidRPr="00540146" w:rsidRDefault="005F6F63" w:rsidP="007C1C8A">
      <w:pPr>
        <w:pStyle w:val="Teksttreci0"/>
        <w:framePr w:w="9365" w:h="14611" w:hRule="exact" w:wrap="none" w:vAnchor="page" w:hAnchor="page" w:x="1482" w:y="766"/>
        <w:rPr>
          <w:lang w:val="en-US"/>
        </w:rPr>
      </w:pPr>
      <w:hyperlink r:id="rId61" w:history="1">
        <w:r w:rsidRPr="00540146">
          <w:rPr>
            <w:color w:val="0000FF"/>
            <w:u w:val="single"/>
            <w:lang w:val="en-US"/>
          </w:rPr>
          <w:t>http://www.fsis.usda.gov/wps/portal/fsis/topics/regulatory-compliance/haccp/resources-</w:t>
        </w:r>
      </w:hyperlink>
      <w:r w:rsidRPr="00540146">
        <w:rPr>
          <w:color w:val="0000FF"/>
          <w:u w:val="single"/>
          <w:lang w:val="en-US"/>
        </w:rPr>
        <w:t xml:space="preserve"> </w:t>
      </w:r>
      <w:hyperlink r:id="rId62" w:history="1">
        <w:r w:rsidRPr="00540146">
          <w:rPr>
            <w:color w:val="0000FF"/>
            <w:u w:val="single"/>
            <w:lang w:val="en-US"/>
          </w:rPr>
          <w:t>and-information/haccp-validation</w:t>
        </w:r>
      </w:hyperlink>
    </w:p>
    <w:p w14:paraId="273E7FDC" w14:textId="77777777" w:rsidR="00632C48" w:rsidRPr="009301DF" w:rsidRDefault="005F6F63" w:rsidP="007C1C8A">
      <w:pPr>
        <w:pStyle w:val="Teksttreci0"/>
        <w:framePr w:w="9365" w:h="14611" w:hRule="exact" w:wrap="none" w:vAnchor="page" w:hAnchor="page" w:x="1482" w:y="766"/>
        <w:spacing w:after="0"/>
      </w:pPr>
      <w:r w:rsidRPr="009301DF">
        <w:t>Pomoc w zakresie zgodności:</w:t>
      </w:r>
    </w:p>
    <w:p w14:paraId="23BBED1F" w14:textId="77777777" w:rsidR="00632C48" w:rsidRPr="009301DF" w:rsidRDefault="005F6F63" w:rsidP="007C1C8A">
      <w:pPr>
        <w:pStyle w:val="Teksttreci0"/>
        <w:framePr w:w="9365" w:h="14611" w:hRule="exact" w:wrap="none" w:vAnchor="page" w:hAnchor="page" w:x="1482" w:y="766"/>
      </w:pPr>
      <w:hyperlink r:id="rId63" w:history="1">
        <w:r w:rsidRPr="009301DF">
          <w:rPr>
            <w:color w:val="0000FF"/>
            <w:u w:val="single"/>
          </w:rPr>
          <w:t>http://www.fsis.usda.gov/wps/portal/fsis/topics/regulatory-compliance</w:t>
        </w:r>
      </w:hyperlink>
    </w:p>
    <w:p w14:paraId="7B847BB3" w14:textId="77777777" w:rsidR="00632C48" w:rsidRPr="009301DF" w:rsidRDefault="005F6F63" w:rsidP="007C1C8A">
      <w:pPr>
        <w:pStyle w:val="Teksttreci0"/>
        <w:framePr w:w="9365" w:h="14611" w:hRule="exact" w:wrap="none" w:vAnchor="page" w:hAnchor="page" w:x="1482" w:y="766"/>
        <w:spacing w:after="0"/>
      </w:pPr>
      <w:r w:rsidRPr="009301DF">
        <w:t>Kontakty i koordynatorzy HACCP w poszczególnych Stanach:</w:t>
      </w:r>
    </w:p>
    <w:p w14:paraId="248A8022" w14:textId="77777777" w:rsidR="00632C48" w:rsidRPr="009301DF" w:rsidRDefault="005F6F63" w:rsidP="007C1C8A">
      <w:pPr>
        <w:pStyle w:val="Teksttreci0"/>
        <w:framePr w:w="9365" w:h="14611" w:hRule="exact" w:wrap="none" w:vAnchor="page" w:hAnchor="page" w:x="1482" w:y="766"/>
      </w:pPr>
      <w:hyperlink r:id="rId64" w:history="1">
        <w:r w:rsidRPr="009301DF">
          <w:rPr>
            <w:color w:val="0000FF"/>
            <w:u w:val="single"/>
          </w:rPr>
          <w:t>http://www.fsis.usda.gov/wps/portal/informational/contactus/state-haccp-contacts-and-</w:t>
        </w:r>
      </w:hyperlink>
      <w:r w:rsidRPr="009301DF">
        <w:rPr>
          <w:color w:val="0000FF"/>
          <w:u w:val="single"/>
        </w:rPr>
        <w:t xml:space="preserve"> </w:t>
      </w:r>
      <w:hyperlink r:id="rId65" w:history="1">
        <w:r w:rsidRPr="009301DF">
          <w:rPr>
            <w:color w:val="0000FF"/>
            <w:u w:val="single"/>
          </w:rPr>
          <w:t>koordynatorzy</w:t>
        </w:r>
      </w:hyperlink>
    </w:p>
    <w:p w14:paraId="706266CD" w14:textId="77777777" w:rsidR="00632C48" w:rsidRPr="009301DF" w:rsidRDefault="005F6F63" w:rsidP="007C1C8A">
      <w:pPr>
        <w:pStyle w:val="Teksttreci0"/>
        <w:framePr w:w="9365" w:h="14611" w:hRule="exact" w:wrap="none" w:vAnchor="page" w:hAnchor="page" w:x="1482" w:y="766"/>
      </w:pPr>
      <w:r w:rsidRPr="009301DF">
        <w:t>Uniwersytet Stanowy Ohio, rozszerzenie nauki o mięsie -</w:t>
      </w:r>
      <w:hyperlink r:id="rId66" w:history="1">
        <w:r w:rsidRPr="009301DF">
          <w:t xml:space="preserve"> </w:t>
        </w:r>
        <w:r w:rsidRPr="009301DF">
          <w:rPr>
            <w:color w:val="0000FF"/>
            <w:u w:val="single"/>
          </w:rPr>
          <w:t>http://meatsci.osu.edu/home</w:t>
        </w:r>
      </w:hyperlink>
    </w:p>
    <w:p w14:paraId="0A0EA722" w14:textId="77777777" w:rsidR="00632C48" w:rsidRPr="009301DF" w:rsidRDefault="005F6F63" w:rsidP="007C1C8A">
      <w:pPr>
        <w:pStyle w:val="Teksttreci0"/>
        <w:framePr w:w="9365" w:h="14611" w:hRule="exact" w:wrap="none" w:vAnchor="page" w:hAnchor="page" w:x="1482" w:y="766"/>
        <w:rPr>
          <w:sz w:val="22"/>
          <w:szCs w:val="22"/>
        </w:rPr>
      </w:pPr>
      <w:r w:rsidRPr="009301DF">
        <w:t>Uniwersytet w Wisconsin, Centrum Walidacji Procesów Mięsnych -</w:t>
      </w:r>
      <w:hyperlink r:id="rId67" w:history="1">
        <w:r w:rsidRPr="009301DF">
          <w:t xml:space="preserve"> </w:t>
        </w:r>
        <w:r w:rsidRPr="009301DF">
          <w:rPr>
            <w:color w:val="0000FF"/>
            <w:sz w:val="22"/>
            <w:u w:val="single"/>
          </w:rPr>
          <w:t>www.meathaccp.wisc.edu</w:t>
        </w:r>
      </w:hyperlink>
    </w:p>
    <w:p w14:paraId="6F2E831D" w14:textId="77777777" w:rsidR="00632C48" w:rsidRPr="009301DF" w:rsidRDefault="005F6F63" w:rsidP="007C1C8A">
      <w:pPr>
        <w:pStyle w:val="Teksttreci0"/>
        <w:framePr w:w="9365" w:h="14611" w:hRule="exact" w:wrap="none" w:vAnchor="page" w:hAnchor="page" w:x="1482" w:y="766"/>
        <w:rPr>
          <w:sz w:val="22"/>
          <w:szCs w:val="22"/>
        </w:rPr>
      </w:pPr>
      <w:r w:rsidRPr="009301DF">
        <w:t>Penn State University, Nauka o Żywności -</w:t>
      </w:r>
      <w:hyperlink r:id="rId68" w:history="1">
        <w:r w:rsidRPr="009301DF">
          <w:t xml:space="preserve"> </w:t>
        </w:r>
        <w:r w:rsidRPr="009301DF">
          <w:rPr>
            <w:color w:val="0000FF"/>
            <w:sz w:val="22"/>
            <w:u w:val="single"/>
          </w:rPr>
          <w:t>http://foodsafety.psu.edu/extension-people.html</w:t>
        </w:r>
      </w:hyperlink>
    </w:p>
    <w:p w14:paraId="6668DF7A" w14:textId="77777777" w:rsidR="00632C48" w:rsidRPr="00540146" w:rsidRDefault="005F6F63" w:rsidP="007C1C8A">
      <w:pPr>
        <w:pStyle w:val="Teksttreci0"/>
        <w:framePr w:w="9365" w:h="14611" w:hRule="exact" w:wrap="none" w:vAnchor="page" w:hAnchor="page" w:x="1482" w:y="766"/>
        <w:spacing w:after="0"/>
        <w:rPr>
          <w:lang w:val="en-US"/>
        </w:rPr>
      </w:pPr>
      <w:r w:rsidRPr="00540146">
        <w:rPr>
          <w:lang w:val="en-US"/>
        </w:rPr>
        <w:t>HACCP Alliance -</w:t>
      </w:r>
      <w:hyperlink r:id="rId69" w:history="1">
        <w:r w:rsidRPr="00540146">
          <w:rPr>
            <w:lang w:val="en-US"/>
          </w:rPr>
          <w:t xml:space="preserve"> </w:t>
        </w:r>
        <w:r w:rsidRPr="00540146">
          <w:rPr>
            <w:color w:val="0000FF"/>
            <w:u w:val="single"/>
            <w:lang w:val="en-US"/>
          </w:rPr>
          <w:t>http://www. haccpalliance.org/sub/index. htm l</w:t>
        </w:r>
      </w:hyperlink>
    </w:p>
    <w:p w14:paraId="6052338B" w14:textId="77777777" w:rsidR="00632C48" w:rsidRPr="00540146" w:rsidRDefault="00632C48">
      <w:pPr>
        <w:spacing w:line="1" w:lineRule="exact"/>
        <w:rPr>
          <w:lang w:val="en-US"/>
        </w:rPr>
        <w:sectPr w:rsidR="00632C48" w:rsidRPr="00540146">
          <w:pgSz w:w="12485" w:h="16357"/>
          <w:pgMar w:top="360" w:right="360" w:bottom="360" w:left="360" w:header="0" w:footer="3" w:gutter="0"/>
          <w:cols w:space="720"/>
          <w:noEndnote/>
          <w:docGrid w:linePitch="360"/>
        </w:sectPr>
      </w:pPr>
    </w:p>
    <w:p w14:paraId="4C904EBC" w14:textId="77777777" w:rsidR="00632C48" w:rsidRPr="00540146" w:rsidRDefault="00632C48">
      <w:pPr>
        <w:spacing w:line="1" w:lineRule="exact"/>
        <w:rPr>
          <w:lang w:val="en-US"/>
        </w:rPr>
      </w:pPr>
    </w:p>
    <w:p w14:paraId="57296A12" w14:textId="77777777" w:rsidR="00632C48" w:rsidRPr="009301DF" w:rsidRDefault="005F6F63" w:rsidP="007C1C8A">
      <w:pPr>
        <w:pStyle w:val="Nagwek10"/>
        <w:framePr w:w="9766" w:h="14904" w:hRule="exact" w:wrap="none" w:vAnchor="page" w:hAnchor="page" w:x="1482" w:y="691"/>
        <w:spacing w:after="320"/>
      </w:pPr>
      <w:bookmarkStart w:id="19" w:name="bookmark35"/>
      <w:r w:rsidRPr="009301DF">
        <w:t>Dodatek 1: Przykłady problemów z bezpieczeństwem żywności związanych z nieodpowiednią walidacją</w:t>
      </w:r>
      <w:bookmarkEnd w:id="19"/>
    </w:p>
    <w:p w14:paraId="6AD72454" w14:textId="77777777" w:rsidR="00632C48" w:rsidRPr="009301DF" w:rsidRDefault="005F6F63" w:rsidP="007C1C8A">
      <w:pPr>
        <w:pStyle w:val="Teksttreci0"/>
        <w:framePr w:w="9766" w:h="14904" w:hRule="exact" w:wrap="none" w:vAnchor="page" w:hAnchor="page" w:x="1482" w:y="691"/>
      </w:pPr>
      <w:r w:rsidRPr="009301DF">
        <w:t>Poniżej znajduje się kilka konkretnych przykładów, w których FSIS stwierdził, że nieodpowiednia walidacja doprowadziła do zanieczyszczenia produktu, a w niektórych przypadkach do wybuchu epidemii.</w:t>
      </w:r>
    </w:p>
    <w:p w14:paraId="5A99AB04" w14:textId="77777777" w:rsidR="00632C48" w:rsidRPr="009301DF" w:rsidRDefault="005F6F63" w:rsidP="007C1C8A">
      <w:pPr>
        <w:pStyle w:val="Teksttreci0"/>
        <w:framePr w:w="9766" w:h="14904" w:hRule="exact" w:wrap="none" w:vAnchor="page" w:hAnchor="page" w:x="1482" w:y="691"/>
      </w:pPr>
      <w:r w:rsidRPr="009301DF">
        <w:rPr>
          <w:b/>
        </w:rPr>
        <w:t>2012 - Cielęcina Escherichia coli O157:H7 i zanieczyszczenie STEC inne niż O157. Pozytywne wyniki testów FSIS</w:t>
      </w:r>
    </w:p>
    <w:p w14:paraId="5442A613" w14:textId="77777777" w:rsidR="00632C48" w:rsidRPr="009301DF" w:rsidRDefault="005F6F63" w:rsidP="007C1C8A">
      <w:pPr>
        <w:pStyle w:val="Teksttreci0"/>
        <w:framePr w:w="9766" w:h="14904" w:hRule="exact" w:wrap="none" w:vAnchor="page" w:hAnchor="page" w:x="1482" w:y="691"/>
      </w:pPr>
      <w:r w:rsidRPr="009301DF">
        <w:t>Wyniki testów FSIS pokazują, że procent pozytywnych wyników dla E. coli O157:H7 i zanieczyszczenia innego niż O157 STEC z mielonej wołowiny i surowych elementów mielonej wołowiny wyprodukowanych z cielęciny wydaje się być wyższy niż w przypadku mielonej wołowiny i surowych elementów mielonej wołowiny wyprodukowanych z innych klas bydła rzeźnego.</w:t>
      </w:r>
    </w:p>
    <w:p w14:paraId="1BE9F6C7" w14:textId="77777777" w:rsidR="00632C48" w:rsidRPr="009301DF" w:rsidRDefault="005F6F63" w:rsidP="007C1C8A">
      <w:pPr>
        <w:pStyle w:val="Teksttreci0"/>
        <w:framePr w:w="9766" w:h="14904" w:hRule="exact" w:wrap="none" w:vAnchor="page" w:hAnchor="page" w:x="1482" w:y="691"/>
      </w:pPr>
      <w:r w:rsidRPr="009301DF">
        <w:t xml:space="preserve">W związku z tymi wynikami, FSIS przeprowadziła przegląd ocen bezpieczeństwa żywności (FSA) oraz zwizytowała zakłady uboju cielęciny, aby zidentyfikować obawy związane wyłącznie z ubojem cielęciny. FSIS stwierdziła, że zakłady uboju cielęciny, stosując działania interwencyjne, nie osiągnęły zabezpieczenia tusz ze względu na praktykę zawieszania tusz na systemie szyn z obiema tylnymi kończynami na jednym haku. Z powodu tej praktyki działania interwencyjne z użyciem środków przeciwdrobnoustrojowych lub gorącej wody, takie jak rozpylanie, nie docierały do wszystkich części tusz. Pokrycie tuszy - zapewniające, że cała powierzchnia tuszy została poddana zabiegowi - jest krytycznym parametrem operacyjnym, który jest niezbędny do skutecznego i zgodnego z przeznaczeniem działania interwencyjnego. </w:t>
      </w:r>
      <w:r w:rsidRPr="009301DF">
        <w:rPr>
          <w:b/>
        </w:rPr>
        <w:t>W wyniku niepełnego pokrycia tusz, działania interwencyjne były prawdopodobnie mniej skuteczne niż zamierzano, a ta nieskuteczność mogła przyczynić się do produkcji produktów skażonych bakterią E. coli O157:H7.</w:t>
      </w:r>
    </w:p>
    <w:p w14:paraId="79ACFBE4" w14:textId="77777777" w:rsidR="00632C48" w:rsidRPr="009301DF" w:rsidRDefault="005F6F63" w:rsidP="007C1C8A">
      <w:pPr>
        <w:pStyle w:val="Teksttreci0"/>
        <w:framePr w:w="9766" w:h="14904" w:hRule="exact" w:wrap="none" w:vAnchor="page" w:hAnchor="page" w:x="1482" w:y="691"/>
        <w:spacing w:after="0"/>
      </w:pPr>
      <w:r w:rsidRPr="009301DF">
        <w:t>Ponadto, podczas kontroli w zakładach produkcji wołowiny, FSIS stwierdziła, że zakłady produkcji wołowiny, stosując działania interwencyjne, również nie osiągnęły odpowiedniego pokrycia produktu, ponieważ układały produkty w stosy i zwijały dłuższe kawałki, zwłaszcza schab. Działania te uniemożliwiały dotarcie sprayu przeciwdrobnoustrojowego do wszystkich powierzchni produktu. Ponadto personel zakładu nie wyregulował taktowania przenośnika taśmowego, nie zaprojektował prawidłowo aplikacji sprayu ani nie upewnił się, że produkt został ułożony w postaci jednej warstwy i leży płasko, tak aby wszystkie powierzchnie produktu zostały spryskane środkiem przeciwdrobnoustrojowym.</w:t>
      </w:r>
    </w:p>
    <w:p w14:paraId="7C486498" w14:textId="7DAA69C8" w:rsidR="00632C48" w:rsidRPr="009301DF" w:rsidRDefault="005F6F63" w:rsidP="007C1C8A">
      <w:pPr>
        <w:pStyle w:val="Teksttreci0"/>
        <w:framePr w:w="9766" w:h="14904" w:hRule="exact" w:wrap="none" w:vAnchor="page" w:hAnchor="page" w:x="1482" w:y="691"/>
      </w:pPr>
      <w:r w:rsidRPr="009301DF">
        <w:t>Wnioski z walidacji: Gdyby zakłady wprowadziły krytyczny parametr operacyjny - pokrycie produktu - do swojego systemu HACCP (poprzez program wstępny, KPK lub podczas początkowej konfiguracji systemu), można by zapobiec skażeniu surowych produktów wołowych bakterią E. coli O157:H7 oraz innymi bakteriami STEC.</w:t>
      </w:r>
    </w:p>
    <w:p w14:paraId="00480459" w14:textId="77777777" w:rsidR="00632C48" w:rsidRPr="009301DF" w:rsidRDefault="005F6F63" w:rsidP="007C1C8A">
      <w:pPr>
        <w:pStyle w:val="Teksttreci0"/>
        <w:framePr w:w="9766" w:h="14904" w:hRule="exact" w:wrap="none" w:vAnchor="page" w:hAnchor="page" w:x="1482" w:y="691"/>
      </w:pPr>
      <w:r w:rsidRPr="009301DF">
        <w:rPr>
          <w:b/>
        </w:rPr>
        <w:t>2011 - Wybuch epidemii E. coli O157:H7 - bolonia libańska (</w:t>
      </w:r>
      <w:r w:rsidRPr="009301DF">
        <w:rPr>
          <w:b/>
          <w:i/>
          <w:iCs/>
        </w:rPr>
        <w:t>Lebanon Bologna</w:t>
      </w:r>
      <w:r w:rsidRPr="009301DF">
        <w:rPr>
          <w:b/>
        </w:rPr>
        <w:t>) (peklowana, wędzona i sfermentowana półwytrawna kiełbasa wołowa)</w:t>
      </w:r>
    </w:p>
    <w:p w14:paraId="65DB77D0" w14:textId="31F9400F" w:rsidR="00632C48" w:rsidRPr="009301DF" w:rsidRDefault="005F6F63" w:rsidP="007C1C8A">
      <w:pPr>
        <w:pStyle w:val="Teksttreci0"/>
        <w:framePr w:w="9766" w:h="14904" w:hRule="exact" w:wrap="none" w:vAnchor="page" w:hAnchor="page" w:x="1482" w:y="691"/>
        <w:spacing w:after="0"/>
      </w:pPr>
      <w:r w:rsidRPr="009301DF">
        <w:t>W marcu 2011 roku doszło do wybuchu epidemii choroby spowodowanej bakterią E. coli O157:H7 i związanej z bolonią libańską. Zakład, który wyprodukował produkt, wycofał go z rynku. Dochodzenie FSIS w sprawie przetwarzania produktu ujawniło, że zakład opierał się na wsparciu naukowym, które nie odpowiadało rzeczywistemu procesowi komercyjnemu. W naukowym wsparciu, mającym reprezentować komercyjny proces dla bolonii libańskiej, surowy produkt</w:t>
      </w:r>
      <w:r w:rsidR="008855E1">
        <w:t xml:space="preserve"> </w:t>
      </w:r>
      <w:r w:rsidR="008855E1" w:rsidRPr="009301DF">
        <w:t>bolonii libańskiej był zagęszczany w nieprzepuszczalnych,</w:t>
      </w:r>
      <w:r w:rsidR="008855E1" w:rsidRPr="008855E1">
        <w:t xml:space="preserve"> </w:t>
      </w:r>
      <w:r w:rsidR="008855E1" w:rsidRPr="009301DF">
        <w:t>szczelnych</w:t>
      </w:r>
    </w:p>
    <w:p w14:paraId="2F904A38"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4D7C1E89" w14:textId="77777777" w:rsidR="00632C48" w:rsidRPr="009301DF" w:rsidRDefault="00632C48">
      <w:pPr>
        <w:spacing w:line="1" w:lineRule="exact"/>
      </w:pPr>
    </w:p>
    <w:p w14:paraId="2DAC3F98" w14:textId="06BF7D40" w:rsidR="00632C48" w:rsidRPr="009301DF" w:rsidRDefault="005F6F63" w:rsidP="007C1C8A">
      <w:pPr>
        <w:pStyle w:val="Teksttreci0"/>
        <w:framePr w:w="9490" w:h="14071" w:hRule="exact" w:wrap="none" w:vAnchor="page" w:hAnchor="page" w:x="1484" w:y="886"/>
      </w:pPr>
      <w:r w:rsidRPr="009301DF">
        <w:t>szklanych tubach o średnicy 27 milimetrów, które były zanurzone w dobrze kontrolowanej łaźni wodnej. Jednak podczas rzeczywistego procesu w zakładzie surowy produkt bolonii libańskiej był ubijany w przepuszczalnych osłonkach o średnicy od 52 do 119 mm, które były umieszczane w dużej wędzarni wyposażonej w pojedyncze źródło ciepła i wilgoci, które nie było dobrze kontrolowane.</w:t>
      </w:r>
    </w:p>
    <w:p w14:paraId="44106B2F" w14:textId="77777777" w:rsidR="00632C48" w:rsidRPr="009301DF" w:rsidRDefault="005F6F63" w:rsidP="007C1C8A">
      <w:pPr>
        <w:pStyle w:val="Teksttreci0"/>
        <w:framePr w:w="9490" w:h="14071" w:hRule="exact" w:wrap="none" w:vAnchor="page" w:hAnchor="page" w:x="1484" w:y="886"/>
      </w:pPr>
      <w:r w:rsidRPr="009301DF">
        <w:t xml:space="preserve">Różnica w </w:t>
      </w:r>
      <w:r w:rsidRPr="009301DF">
        <w:rPr>
          <w:b/>
          <w:bCs/>
        </w:rPr>
        <w:t>średnicy i rodzaju materiału osłonki</w:t>
      </w:r>
      <w:r w:rsidRPr="009301DF">
        <w:t xml:space="preserve"> prawdopodobnie doprowadziła do mniejszej redukcji patogenów przenoszonych przez żywność podczas rzeczywistego procesu niż to, co wykazano we wsparciu. Jeśli średnica produktu używanego w zakładzie jest większa niż średnica produktu używanego we wsparciu, możliwe jest, że produkt będzie potrzebował więcej czasu, aby osiągnąć pożądaną temperaturę i pH. Dłuższy niż oczekiwano czas potrzebny na osiągnięcie pożądanej temperatury i pH może prowadzić do niższego poziomu redukcji patogenów. Krytyczne parametry operacyjne, takie jak średnica produktu i rodzaj materiału osłonki, mogą również wpływać na ilość </w:t>
      </w:r>
      <w:r w:rsidRPr="009301DF">
        <w:rPr>
          <w:b/>
          <w:bCs/>
        </w:rPr>
        <w:t>wymienianej wilgoci</w:t>
      </w:r>
      <w:r w:rsidRPr="009301DF">
        <w:t xml:space="preserve"> pomiędzy produktem a środowiskiem i mogą odgrywać rolę z punktu widzenia skuteczności fermentacji. Z tych powodów ważne jest, aby wsparcie stosowane przez zakład było reprezentatywne dla rzeczywistego procesu prowadzonego w zakładzie, tak aby wyniki były powtarzalne.</w:t>
      </w:r>
    </w:p>
    <w:p w14:paraId="44ECB00F" w14:textId="77777777" w:rsidR="00632C48" w:rsidRPr="009301DF" w:rsidRDefault="005F6F63" w:rsidP="007C1C8A">
      <w:pPr>
        <w:pStyle w:val="Teksttreci0"/>
        <w:framePr w:w="9490" w:h="14071" w:hRule="exact" w:wrap="none" w:vAnchor="page" w:hAnchor="page" w:x="1484" w:y="886"/>
      </w:pPr>
      <w:r w:rsidRPr="009301DF">
        <w:rPr>
          <w:i/>
          <w:iCs/>
        </w:rPr>
        <w:t>Wnioski z walidacji</w:t>
      </w:r>
      <w:r w:rsidRPr="009301DF">
        <w:t>: Gdyby zakład upewnił się podczas wstępnego projektowania systemu, że jego rzeczywisty proces jest zgodny z jego wsparciem naukowym, mógłby zająć się rzeczywistą wilgotnością względną i czasem potrzebnym rzeczywistemu produktowi do osiągnięcia pożądanej temperatury i pH w porównaniu z tym we wsparciu, zapobiegając zanieczyszczeniu produktu i chorobom.</w:t>
      </w:r>
    </w:p>
    <w:p w14:paraId="472AFBF3" w14:textId="77777777" w:rsidR="00632C48" w:rsidRPr="009301DF" w:rsidRDefault="005F6F63" w:rsidP="007C1C8A">
      <w:pPr>
        <w:pStyle w:val="Teksttreci0"/>
        <w:framePr w:w="9490" w:h="14071" w:hRule="exact" w:wrap="none" w:vAnchor="page" w:hAnchor="page" w:x="1484" w:y="886"/>
      </w:pPr>
      <w:r w:rsidRPr="009301DF">
        <w:rPr>
          <w:b/>
        </w:rPr>
        <w:t>2007 - Wybuch epidemii salmonelli związanej z potrawką z kurczaka (</w:t>
      </w:r>
      <w:r w:rsidRPr="009301DF">
        <w:rPr>
          <w:b/>
          <w:i/>
          <w:iCs/>
        </w:rPr>
        <w:t>pot pie</w:t>
      </w:r>
      <w:r w:rsidRPr="009301DF">
        <w:rPr>
          <w:b/>
        </w:rPr>
        <w:t>), oraz 2011 - Wybuch epidemii salmonelli związanej z burgerem z indyka.</w:t>
      </w:r>
    </w:p>
    <w:p w14:paraId="57108493" w14:textId="77777777" w:rsidR="00632C48" w:rsidRPr="009301DF" w:rsidRDefault="005F6F63" w:rsidP="007C1C8A">
      <w:pPr>
        <w:pStyle w:val="Teksttreci0"/>
        <w:framePr w:w="9490" w:h="14071" w:hRule="exact" w:wrap="none" w:vAnchor="page" w:hAnchor="page" w:x="1484" w:y="886"/>
        <w:spacing w:after="0"/>
      </w:pPr>
      <w:r w:rsidRPr="009301DF">
        <w:t xml:space="preserve">W październiku 2007 r. wiele odmian mrożonych potrawek z kurczaka (pot pie - rodzaj pikantnego ciasta, zwykle ciasta mięsnego, w tym przypadku z kurczakiem) zostało powiązanych z wybuchem salmonellozy. Zakład, który wyprodukował produkt, wycofał go z rynku. Potrawki z kurczaka zawierały wstępnie ugotowane produkty drobiowe, ale surowe warzywa i ciasto. Testy dwóch pot pie pobranych z domów pacjentów wykazały, że nadzienie dało wynik pozytywny na obecność salmonelli. Dochodzenie wykazało, że prawdopodobną przyczyną zachorowań było to, że konsumenci nie gotowali produktów w kuchence mikrofalowej do śmiertelnej dla salmonelli temperatury. W szczególności dochodzenie wykazało, że </w:t>
      </w:r>
      <w:r w:rsidRPr="009301DF">
        <w:rPr>
          <w:b/>
          <w:bCs/>
        </w:rPr>
        <w:t>instrukcje mogły być mylące</w:t>
      </w:r>
      <w:r w:rsidRPr="009301DF">
        <w:t xml:space="preserve">, ponieważ różne części opakowania zalecały różne czasy przygotowania. Ponadto czas przygotowania w kuchence mikrofalowej różni się w zależności od jej mocy; jednak większość pacjentów, z którymi przeprowadzono wywiady, nie znała mocy swojej kuchenki mikrofalowej. Inni pacjenci zgłaszali nieprzestrzeganie wskazówek dotyczących mikrofalówki, w tym nieprzestrzeganie czasu przerwy między podgrzewaniem w mikrofalówce oraz podgrzewanie w mikrofalówce więcej niż jednego pot pie na raz. Dlatego jednym z głównych wniosków z badania było to, że </w:t>
      </w:r>
      <w:r w:rsidRPr="009301DF">
        <w:rPr>
          <w:b/>
          <w:bCs/>
        </w:rPr>
        <w:t>instrukcje gotowania dla takich produktów powinny zostać zweryfikowane</w:t>
      </w:r>
      <w:r w:rsidRPr="009301DF">
        <w:t xml:space="preserve"> w celu uwzględnienia różnorodności w zakresie mocy mikrofal i powszechnych a błędnych przekonań wśród konsumentów dotyczących charakteru żywności niegotowej do spożycia </w:t>
      </w:r>
      <w:hyperlink r:id="rId70" w:history="1">
        <w:r w:rsidRPr="009301DF">
          <w:rPr>
            <w:color w:val="0000FF"/>
            <w:u w:val="single"/>
          </w:rPr>
          <w:t>(http://www.cdc.gov/mmwr/preview/mmwrhtml/mm5747a3.htm)</w:t>
        </w:r>
      </w:hyperlink>
      <w:r w:rsidRPr="009301DF">
        <w:t>.</w:t>
      </w:r>
    </w:p>
    <w:p w14:paraId="2FBAD970"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2E3475F4" w14:textId="77777777" w:rsidR="00632C48" w:rsidRPr="009301DF" w:rsidRDefault="00632C48">
      <w:pPr>
        <w:spacing w:line="1" w:lineRule="exact"/>
      </w:pPr>
    </w:p>
    <w:p w14:paraId="2D9DEA6F" w14:textId="77777777" w:rsidR="00632C48" w:rsidRPr="009301DF" w:rsidRDefault="005F6F63" w:rsidP="007C1C8A">
      <w:pPr>
        <w:pStyle w:val="Teksttreci0"/>
        <w:framePr w:w="9490" w:h="7171" w:hRule="exact" w:wrap="none" w:vAnchor="page" w:hAnchor="page" w:x="1484" w:y="796"/>
        <w:spacing w:after="0"/>
      </w:pPr>
      <w:r w:rsidRPr="009301DF">
        <w:t xml:space="preserve">W okresie od końca grudnia 2010 r. do marca 2011 r. w wyniku wybuchu epidemii </w:t>
      </w:r>
      <w:hyperlink r:id="rId71" w:history="1">
        <w:r w:rsidRPr="009301DF">
          <w:t xml:space="preserve"> </w:t>
        </w:r>
        <w:r w:rsidRPr="009301DF">
          <w:rPr>
            <w:i/>
            <w:color w:val="0000FF"/>
            <w:u w:val="single"/>
          </w:rPr>
          <w:t>Salmonella</w:t>
        </w:r>
        <w:r w:rsidRPr="009301DF">
          <w:rPr>
            <w:color w:val="0000FF"/>
            <w:u w:val="single"/>
          </w:rPr>
          <w:t xml:space="preserve"> Hadar</w:t>
        </w:r>
      </w:hyperlink>
      <w:r w:rsidRPr="009301DF">
        <w:t xml:space="preserve"> związanej z burgerami z indyka zachorowało 12 osób, z których trzy hospitalizowano.</w:t>
      </w:r>
    </w:p>
    <w:p w14:paraId="1E37612B" w14:textId="77777777" w:rsidR="00632C48" w:rsidRPr="009301DF" w:rsidRDefault="005F6F63" w:rsidP="007C1C8A">
      <w:pPr>
        <w:pStyle w:val="Teksttreci0"/>
        <w:framePr w:w="9490" w:h="7171" w:hRule="exact" w:wrap="none" w:vAnchor="page" w:hAnchor="page" w:x="1484" w:y="796"/>
      </w:pPr>
      <w:r w:rsidRPr="009301DF">
        <w:t xml:space="preserve">Śledczy nie byli w stanie ustalić czy wszyscy pacjenci spożywali burgery z indyka. FSIS ustaliła jednak, że co najmniej trzech pacjentów w trzech stanach zgłosiło spożycie burgerów z indyka wyprodukowanych w tym samym zakładzie na tydzień przed wystąpieniem choroby. Próbki mielonych burgerów z indyka zostały pobrane przez agencje zdrowia publicznego z domów dwóch pacjentów, którzy uzyskali pozytywny wynik testu na obecność szczepu </w:t>
      </w:r>
      <w:r w:rsidRPr="009301DF">
        <w:rPr>
          <w:i/>
          <w:iCs/>
        </w:rPr>
        <w:t>Salmonella Hadar</w:t>
      </w:r>
      <w:r w:rsidRPr="009301DF">
        <w:t xml:space="preserve">. Obie próbki burgerów z indyka dały wynik pozytywny na obecność szczepu.  W wyniku tych ustaleń zakład, który wyprodukował produkt, wycofał 54 960 funtów potencjalnie skażonego produktu </w:t>
      </w:r>
      <w:hyperlink r:id="rId72" w:history="1">
        <w:r w:rsidRPr="009301DF">
          <w:t>(http://www.cdc.gov/salmonella/hadar0411/040411/index.html?s_cid=ccu041111_016)</w:t>
        </w:r>
      </w:hyperlink>
      <w:r w:rsidRPr="009301DF">
        <w:t>.</w:t>
      </w:r>
    </w:p>
    <w:p w14:paraId="4D9774FA" w14:textId="77777777" w:rsidR="00632C48" w:rsidRPr="009301DF" w:rsidRDefault="005F6F63" w:rsidP="007C1C8A">
      <w:pPr>
        <w:pStyle w:val="Teksttreci0"/>
        <w:framePr w:w="9490" w:h="7171" w:hRule="exact" w:wrap="none" w:vAnchor="page" w:hAnchor="page" w:x="1484" w:y="796"/>
      </w:pPr>
      <w:r w:rsidRPr="009301DF">
        <w:t>Podczas dochodzenia przeprowadzonego po wybuchu epidemii, FSIS stwierdził, że instrukcje gotowania burgera z indyka nie były wystarczające, aby zagwarantować osiągnięcie bezpiecznej temperatury końcowej, tak aby patogeny w procesie gotowania zostały zabite.</w:t>
      </w:r>
    </w:p>
    <w:p w14:paraId="466F8A2A" w14:textId="77777777" w:rsidR="00632C48" w:rsidRPr="009301DF" w:rsidRDefault="005F6F63" w:rsidP="007C1C8A">
      <w:pPr>
        <w:pStyle w:val="Teksttreci0"/>
        <w:framePr w:w="9490" w:h="7171" w:hRule="exact" w:wrap="none" w:vAnchor="page" w:hAnchor="page" w:x="1484" w:y="796"/>
        <w:spacing w:after="0"/>
      </w:pPr>
      <w:r w:rsidRPr="009301DF">
        <w:t>Wnioski z walidacji: Gdyby zakłady zatwierdziły instrukcje gotowania pot pie oraz burgerów z indyka, aby dopilnować, że osiągną one pożądaną temperaturę końcową w rzeczywistych warunkach gotowania przez konsumentów, można by było zapobiec tym chorobom.</w:t>
      </w:r>
    </w:p>
    <w:p w14:paraId="401443F3"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647FA12F" w14:textId="77777777" w:rsidR="00632C48" w:rsidRPr="009301DF" w:rsidRDefault="00632C48">
      <w:pPr>
        <w:spacing w:line="1" w:lineRule="exact"/>
      </w:pPr>
    </w:p>
    <w:p w14:paraId="0F577519" w14:textId="77777777" w:rsidR="00632C48" w:rsidRPr="009301DF" w:rsidRDefault="005F6F63" w:rsidP="007C1C8A">
      <w:pPr>
        <w:pStyle w:val="Nagwek10"/>
        <w:framePr w:w="9871" w:h="14641" w:hRule="exact" w:wrap="none" w:vAnchor="page" w:hAnchor="page" w:x="1461" w:y="586"/>
        <w:spacing w:after="320"/>
      </w:pPr>
      <w:bookmarkStart w:id="20" w:name="bookmark37"/>
      <w:r w:rsidRPr="009301DF">
        <w:t>Dodatek 2: Przykładowy dokument dotyczący podejmowania decyzji</w:t>
      </w:r>
      <w:bookmarkEnd w:id="20"/>
    </w:p>
    <w:p w14:paraId="2933FE93" w14:textId="77777777" w:rsidR="00632C48" w:rsidRPr="009301DF" w:rsidRDefault="005F6F63" w:rsidP="007C1C8A">
      <w:pPr>
        <w:pStyle w:val="Teksttreci0"/>
        <w:framePr w:w="9871" w:h="14641" w:hRule="exact" w:wrap="none" w:vAnchor="page" w:hAnchor="page" w:x="1461" w:y="586"/>
        <w:spacing w:after="260"/>
      </w:pPr>
      <w:r w:rsidRPr="009301DF">
        <w:t>Poniżej przedstawiono przykład dokumentu decyzyjnego, który mógłby zostać wykorzystany przez zakład przetwórstwa wołowiny w celu uzasadnienia stosowania zmodyfikowanych poziomów krytycznych parametrów operacyjnych. W tym przypadku zakład zidentyfikował wsparcie naukowe dla swojego procesu, jednak zmodyfikował krytyczne parametry operacyjne (długość czasu gotowania i temperaturę termometru suchego podczas suszenia) w rzeczywistym procesie w stosunku do tych zastosowanych w wsparciu naukowym. Przedstawiono uzasadnienie, dlaczego zmodyfikowane krytyczne parametry operacyjne należy również uznać za zatwierdzone.</w:t>
      </w:r>
    </w:p>
    <w:p w14:paraId="4ABA139C" w14:textId="77777777" w:rsidR="00632C48" w:rsidRPr="009301DF" w:rsidRDefault="005F6F63" w:rsidP="007C1C8A">
      <w:pPr>
        <w:pStyle w:val="Teksttreci0"/>
        <w:framePr w:w="9871" w:h="14641" w:hRule="exact" w:wrap="none" w:vAnchor="page" w:hAnchor="page" w:x="1461" w:y="586"/>
        <w:spacing w:after="260"/>
      </w:pPr>
      <w:r w:rsidRPr="009301DF">
        <w:rPr>
          <w:b/>
        </w:rPr>
        <w:t>Zakład Mięsny XYZ - 5 października 2012 r. Dokumentacja podejmowania decyzji w sprawie suszonej wołowiny</w:t>
      </w:r>
    </w:p>
    <w:p w14:paraId="5F8F2914" w14:textId="77777777" w:rsidR="00632C48" w:rsidRPr="009301DF" w:rsidRDefault="005F6F63" w:rsidP="007C1C8A">
      <w:pPr>
        <w:pStyle w:val="Teksttreci0"/>
        <w:framePr w:w="9871" w:h="14641" w:hRule="exact" w:wrap="none" w:vAnchor="page" w:hAnchor="page" w:x="1461" w:y="586"/>
        <w:spacing w:after="260"/>
      </w:pPr>
      <w:r w:rsidRPr="009301DF">
        <w:rPr>
          <w:b/>
        </w:rPr>
        <w:t xml:space="preserve">Etap procesu: </w:t>
      </w:r>
      <w:r w:rsidRPr="009301DF">
        <w:t>Gotowanie i suszenie</w:t>
      </w:r>
    </w:p>
    <w:p w14:paraId="1227C334" w14:textId="77777777" w:rsidR="00632C48" w:rsidRPr="009301DF" w:rsidRDefault="005F6F63" w:rsidP="007C1C8A">
      <w:pPr>
        <w:pStyle w:val="Teksttreci0"/>
        <w:framePr w:w="9871" w:h="14641" w:hRule="exact" w:wrap="none" w:vAnchor="page" w:hAnchor="page" w:x="1461" w:y="586"/>
        <w:spacing w:after="260"/>
      </w:pPr>
      <w:r w:rsidRPr="009301DF">
        <w:rPr>
          <w:b/>
        </w:rPr>
        <w:t xml:space="preserve">Przegląd etapu procesu: </w:t>
      </w:r>
      <w:r w:rsidRPr="009301DF">
        <w:t>Ten etap procesu obejmuje gotowanie i suszenie suszonej wołowiny przy użyciu zmodyfikowanego procesu typu 1A z Buege et al. (2006).</w:t>
      </w:r>
    </w:p>
    <w:p w14:paraId="1A785AB0" w14:textId="77777777" w:rsidR="00632C48" w:rsidRPr="009301DF" w:rsidRDefault="005F6F63" w:rsidP="007C1C8A">
      <w:pPr>
        <w:pStyle w:val="Teksttreci0"/>
        <w:framePr w:w="9871" w:h="14641" w:hRule="exact" w:wrap="none" w:vAnchor="page" w:hAnchor="page" w:x="1461" w:y="586"/>
        <w:spacing w:after="0"/>
      </w:pPr>
      <w:r w:rsidRPr="009301DF">
        <w:rPr>
          <w:b/>
        </w:rPr>
        <w:t>Wsparcie naukowe:</w:t>
      </w:r>
    </w:p>
    <w:p w14:paraId="163BDFA4" w14:textId="4A749091" w:rsidR="00632C48" w:rsidRPr="009301DF" w:rsidRDefault="005F6F63" w:rsidP="007C1C8A">
      <w:pPr>
        <w:pStyle w:val="Teksttreci0"/>
        <w:framePr w:w="9871" w:h="14641" w:hRule="exact" w:wrap="none" w:vAnchor="page" w:hAnchor="page" w:x="1461" w:y="586"/>
        <w:numPr>
          <w:ilvl w:val="0"/>
          <w:numId w:val="6"/>
        </w:numPr>
        <w:spacing w:after="0" w:line="276" w:lineRule="auto"/>
      </w:pPr>
      <w:r w:rsidRPr="009301DF">
        <w:t>Podsumowanie wartości granicznych dla trwałości suszonej wołowiny i produktów pokrewnych (</w:t>
      </w:r>
      <w:r w:rsidRPr="009301DF">
        <w:rPr>
          <w:i/>
          <w:iCs/>
        </w:rPr>
        <w:t>Critical limit summary for shelf stability of beef jerky and related products</w:t>
      </w:r>
      <w:r w:rsidRPr="009301DF">
        <w:t>): http://www.meathaccp.wisc.edu/validation/assets/CLSummary_WMJerk yJune2013.pdf.</w:t>
      </w:r>
    </w:p>
    <w:p w14:paraId="11FF57EB" w14:textId="74DAD5D3" w:rsidR="00632C48" w:rsidRPr="009301DF" w:rsidRDefault="005F6F63" w:rsidP="007C1C8A">
      <w:pPr>
        <w:pStyle w:val="Teksttreci0"/>
        <w:framePr w:w="9871" w:h="14641" w:hRule="exact" w:wrap="none" w:vAnchor="page" w:hAnchor="page" w:x="1461" w:y="586"/>
        <w:numPr>
          <w:ilvl w:val="0"/>
          <w:numId w:val="6"/>
        </w:numPr>
        <w:spacing w:after="180" w:line="276" w:lineRule="auto"/>
      </w:pPr>
      <w:r w:rsidRPr="00A371E8">
        <w:rPr>
          <w:lang w:val="en-US"/>
        </w:rPr>
        <w:t xml:space="preserve">Buege, D.R., Searls, G. i Ingham, S.C. 2006. Śmiertelność serotypów </w:t>
      </w:r>
      <w:r w:rsidRPr="00A371E8">
        <w:rPr>
          <w:i/>
          <w:iCs/>
          <w:lang w:val="en-US"/>
        </w:rPr>
        <w:t>Salmonella i Escherichia coli O157:H7</w:t>
      </w:r>
      <w:r w:rsidRPr="00A371E8">
        <w:rPr>
          <w:lang w:val="en-US"/>
        </w:rPr>
        <w:t xml:space="preserve"> w komercyjnych procesach produkcji suszonego mięsa wołowego (</w:t>
      </w:r>
      <w:r w:rsidRPr="00A371E8">
        <w:rPr>
          <w:i/>
          <w:iCs/>
          <w:lang w:val="en-US"/>
        </w:rPr>
        <w:t>Lethality of commercial wholemuscle beef jerky manufacturing processes against Salmonella Serovars and Escherichia coli O157:H7</w:t>
      </w:r>
      <w:r w:rsidRPr="00A371E8">
        <w:rPr>
          <w:lang w:val="en-US"/>
        </w:rPr>
        <w:t xml:space="preserve">). </w:t>
      </w:r>
      <w:r w:rsidRPr="009301DF">
        <w:rPr>
          <w:i/>
        </w:rPr>
        <w:t>J. Food Prot</w:t>
      </w:r>
      <w:r w:rsidRPr="009301DF">
        <w:t>: 69(9): 2091-2099.</w:t>
      </w:r>
    </w:p>
    <w:p w14:paraId="0BDC94D6" w14:textId="77777777" w:rsidR="00632C48" w:rsidRPr="009301DF" w:rsidRDefault="005F6F63" w:rsidP="007C1C8A">
      <w:pPr>
        <w:pStyle w:val="Teksttreci0"/>
        <w:framePr w:w="9871" w:h="14641" w:hRule="exact" w:wrap="none" w:vAnchor="page" w:hAnchor="page" w:x="1461" w:y="586"/>
        <w:spacing w:after="260"/>
      </w:pPr>
      <w:r w:rsidRPr="009301DF">
        <w:rPr>
          <w:b/>
        </w:rPr>
        <w:t>Krytyczne parametry operacyjne - gotowanie i suszenie:</w:t>
      </w:r>
    </w:p>
    <w:p w14:paraId="28468DA4" w14:textId="77777777" w:rsidR="00632C48" w:rsidRPr="009301DF" w:rsidRDefault="005F6F63" w:rsidP="007C1C8A">
      <w:pPr>
        <w:pStyle w:val="Teksttreci0"/>
        <w:framePr w:w="9871" w:h="14641" w:hRule="exact" w:wrap="none" w:vAnchor="page" w:hAnchor="page" w:x="1461" w:y="586"/>
        <w:spacing w:after="320" w:line="276" w:lineRule="auto"/>
      </w:pPr>
      <w:r w:rsidRPr="009301DF">
        <w:t>Etap 1 - 170°F przez 30 minut.</w:t>
      </w:r>
    </w:p>
    <w:p w14:paraId="35B49363" w14:textId="77777777" w:rsidR="00632C48" w:rsidRPr="009301DF" w:rsidRDefault="005F6F63" w:rsidP="007C1C8A">
      <w:pPr>
        <w:pStyle w:val="Teksttreci0"/>
        <w:framePr w:w="9871" w:h="14641" w:hRule="exact" w:wrap="none" w:vAnchor="page" w:hAnchor="page" w:x="1461" w:y="586"/>
        <w:spacing w:after="0"/>
      </w:pPr>
      <w:r w:rsidRPr="009301DF">
        <w:t>Etap 2 - Suszenie w temperaturze 170°F i suszenie w temperaturze 125°F przez co najmniej 90* minut.</w:t>
      </w:r>
    </w:p>
    <w:p w14:paraId="368025A8" w14:textId="784FDDBD" w:rsidR="00632C48" w:rsidRPr="009301DF" w:rsidRDefault="008855E1" w:rsidP="007C1C8A">
      <w:pPr>
        <w:pStyle w:val="Teksttreci0"/>
        <w:framePr w:w="9871" w:h="14641" w:hRule="exact" w:wrap="none" w:vAnchor="page" w:hAnchor="page" w:x="1461" w:y="586"/>
        <w:spacing w:after="260"/>
      </w:pPr>
      <w:r>
        <w:br/>
      </w:r>
      <w:r w:rsidR="005F6F63" w:rsidRPr="009301DF">
        <w:t xml:space="preserve">Etap 3 - Suszenie w temperaturze </w:t>
      </w:r>
      <w:r w:rsidR="005F6F63" w:rsidRPr="009301DF">
        <w:rPr>
          <w:b/>
          <w:u w:val="single"/>
        </w:rPr>
        <w:t>175°F*</w:t>
      </w:r>
      <w:r w:rsidR="005F6F63" w:rsidRPr="009301DF">
        <w:t xml:space="preserve"> do uzyskania odpowiedniej konsystencji.</w:t>
      </w:r>
    </w:p>
    <w:p w14:paraId="6D318043" w14:textId="77777777" w:rsidR="00632C48" w:rsidRPr="009301DF" w:rsidRDefault="005F6F63" w:rsidP="007C1C8A">
      <w:pPr>
        <w:pStyle w:val="Teksttreci0"/>
        <w:framePr w:w="9871" w:h="14641" w:hRule="exact" w:wrap="none" w:vAnchor="page" w:hAnchor="page" w:x="1461" w:y="586"/>
        <w:spacing w:after="0"/>
      </w:pPr>
      <w:r w:rsidRPr="009301DF">
        <w:rPr>
          <w:b/>
        </w:rPr>
        <w:t xml:space="preserve">*Uzasadnienie zmodyfikowanych krytycznych parametrów operacyjnych (oznaczonych *): </w:t>
      </w:r>
      <w:r w:rsidRPr="009301DF">
        <w:t>Długość Etapu 2 i temperatura termometru suchego podczas Etapu 3 zostały zwiększone w stosunku do tego, co badano w Buege et al. W Buege et al. długość Etapu 2 z termometrem mokrym 125°F wynosiła 60 minut, podczas gdy temperatura termometru suchego podczas Etapu 3 wynosiła 170°F. Jak stwierdzono w podsumowaniu limitów krytycznych dołączonym do artykułu: Procesy typu 1-A z wyższą temperaturą termometru mokrego lub dłuższym czasem na etapie 2, lub wyższą temperaturą termometru suchego na etapie 3, można również uznać za zwalidowane, o ile inne części procesu nie zostaną zmienione. Zmiany te można więc również uznać za zwalidowane.</w:t>
      </w:r>
    </w:p>
    <w:p w14:paraId="1F126934"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205AA1DF" w14:textId="77777777" w:rsidR="00632C48" w:rsidRPr="009301DF" w:rsidRDefault="00632C48">
      <w:pPr>
        <w:spacing w:line="1" w:lineRule="exact"/>
      </w:pPr>
    </w:p>
    <w:p w14:paraId="5000A168" w14:textId="77777777" w:rsidR="00632C48" w:rsidRPr="009301DF" w:rsidRDefault="005F6F63" w:rsidP="007C1C8A">
      <w:pPr>
        <w:pStyle w:val="Nagwek10"/>
        <w:framePr w:w="9442" w:h="4734" w:hRule="exact" w:wrap="none" w:vAnchor="page" w:hAnchor="page" w:x="1493" w:y="1066"/>
        <w:spacing w:after="320"/>
      </w:pPr>
      <w:bookmarkStart w:id="21" w:name="bookmark39"/>
      <w:r w:rsidRPr="009301DF">
        <w:t>Dodatek 3: Wytyczne dotyczące identyfikacji krytycznych parametrów operacyjnych w ramach wsparcia naukowego lub technicznego</w:t>
      </w:r>
      <w:bookmarkEnd w:id="21"/>
    </w:p>
    <w:p w14:paraId="433CF1DE" w14:textId="77777777" w:rsidR="00632C48" w:rsidRPr="009301DF" w:rsidRDefault="005F6F63" w:rsidP="007C1C8A">
      <w:pPr>
        <w:pStyle w:val="Teksttreci0"/>
        <w:framePr w:w="9442" w:h="4734" w:hRule="exact" w:wrap="none" w:vAnchor="page" w:hAnchor="page" w:x="1493" w:y="1066"/>
        <w:spacing w:after="0"/>
      </w:pPr>
      <w:r w:rsidRPr="009301DF">
        <w:t>Jeśli artykuł w czasopiśmie z literatury naukowej jest wykorzystywany jako wsparcie naukowe, ważne jest, aby zrozumieć, jak go czytać oraz zidentyfikować krytyczne parametry operacyjne wykorzystywane w badaniu. Naukowcy mogą mierzyć wiele parametrów podczas badania naukowego; jednak nie wszystkie z tych parametrów są krytyczne dla skuteczności badanego działania interwencyjnego. Zakład powinien udokumentować i wyjaśnić wszelkie różnice w swoim procesie produkcyjnym w stosunku do któregokolwiek z badań, które wykorzystał jako wsparcie naukowe. Krytyczne parametry operacyjne to te parametry działań interwencyjnych, które muszą być spełnione, aby działania interwencyjne były skuteczne i zgodne z założeniami. Zazwyczaj parametry krytyczne, zidentyfikowane w dokumentach naukowych zebranych w ramach Elementu 1 walidacji obejmują:</w:t>
      </w:r>
    </w:p>
    <w:p w14:paraId="14179862" w14:textId="77777777" w:rsidR="00632C48" w:rsidRPr="009301DF" w:rsidRDefault="005F6F63" w:rsidP="007C1C8A">
      <w:pPr>
        <w:pStyle w:val="Teksttreci0"/>
        <w:framePr w:w="9442" w:h="2986" w:hRule="exact" w:wrap="none" w:vAnchor="page" w:hAnchor="page" w:x="1493" w:y="7824"/>
      </w:pPr>
      <w:r w:rsidRPr="009301DF">
        <w:t>Poniższa dyskusja zawiera przegląd sekcji artykułu w czasopiśmie wraz z pytaniami, które można zadać podczas czytania każdej sekcji, aby pomóc zidentyfikować krytyczne parametry operacyjne we wsparciu naukowym.</w:t>
      </w:r>
    </w:p>
    <w:p w14:paraId="683DAD0F" w14:textId="77777777" w:rsidR="00632C48" w:rsidRPr="009301DF" w:rsidRDefault="005F6F63" w:rsidP="007C1C8A">
      <w:pPr>
        <w:pStyle w:val="Teksttreci0"/>
        <w:framePr w:w="9442" w:h="2986" w:hRule="exact" w:wrap="none" w:vAnchor="page" w:hAnchor="page" w:x="1493" w:y="7824"/>
      </w:pPr>
      <w:r w:rsidRPr="009301DF">
        <w:rPr>
          <w:b/>
        </w:rPr>
        <w:t>Struktura artykułów w czasopismach naukowych</w:t>
      </w:r>
    </w:p>
    <w:p w14:paraId="212500E7" w14:textId="77777777" w:rsidR="00632C48" w:rsidRPr="009301DF" w:rsidRDefault="005F6F63" w:rsidP="007C1C8A">
      <w:pPr>
        <w:pStyle w:val="Teksttreci0"/>
        <w:framePr w:w="9442" w:h="2986" w:hRule="exact" w:wrap="none" w:vAnchor="page" w:hAnchor="page" w:x="1493" w:y="7824"/>
        <w:spacing w:after="0"/>
      </w:pPr>
      <w:r w:rsidRPr="009301DF">
        <w:t>W większości czasopism naukowych artykuły mają standardowy format. Podzielone są na kilka sekcji, a każda z nich służy określonemu celowi. Typowe sekcje obejmują:</w:t>
      </w:r>
    </w:p>
    <w:p w14:paraId="23A05957" w14:textId="77777777" w:rsidR="00632C48" w:rsidRPr="009301DF" w:rsidRDefault="005F6F63">
      <w:pPr>
        <w:pStyle w:val="Teksttreci0"/>
        <w:framePr w:w="9442" w:h="1488" w:hRule="exact" w:wrap="none" w:vAnchor="page" w:hAnchor="page" w:x="1493" w:y="12495"/>
      </w:pPr>
      <w:r w:rsidRPr="009301DF">
        <w:rPr>
          <w:b/>
        </w:rPr>
        <w:t>Streszczenie</w:t>
      </w:r>
    </w:p>
    <w:p w14:paraId="599013A7" w14:textId="77777777" w:rsidR="00632C48" w:rsidRPr="009301DF" w:rsidRDefault="005F6F63">
      <w:pPr>
        <w:pStyle w:val="Teksttreci0"/>
        <w:framePr w:w="9442" w:h="1488" w:hRule="exact" w:wrap="none" w:vAnchor="page" w:hAnchor="page" w:x="1493" w:y="12495"/>
        <w:spacing w:after="0"/>
      </w:pPr>
      <w:r w:rsidRPr="009301DF">
        <w:t>Artykuł rozpoczyna się krótkim streszczeniem lub abstraktem. Artykuł rozpoczyna się od krótkiego streszczenia lub abstraktu. Generalnie abstrakt przedstawia krótkie tło tematu, zwięźle opisujące główne ustalenia artykułu i odnosi te ustalenia do dziedziny badań.</w:t>
      </w:r>
    </w:p>
    <w:tbl>
      <w:tblPr>
        <w:tblOverlap w:val="never"/>
        <w:tblW w:w="0" w:type="auto"/>
        <w:tblLayout w:type="fixed"/>
        <w:tblCellMar>
          <w:left w:w="10" w:type="dxa"/>
          <w:right w:w="10" w:type="dxa"/>
        </w:tblCellMar>
        <w:tblLook w:val="04A0" w:firstRow="1" w:lastRow="0" w:firstColumn="1" w:lastColumn="0" w:noHBand="0" w:noVBand="1"/>
      </w:tblPr>
      <w:tblGrid>
        <w:gridCol w:w="2835"/>
        <w:gridCol w:w="2786"/>
      </w:tblGrid>
      <w:tr w:rsidR="00632C48" w:rsidRPr="009301DF" w14:paraId="4CAF9245" w14:textId="77777777" w:rsidTr="00220AA2">
        <w:trPr>
          <w:trHeight w:hRule="exact" w:val="278"/>
        </w:trPr>
        <w:tc>
          <w:tcPr>
            <w:tcW w:w="2835" w:type="dxa"/>
            <w:shd w:val="clear" w:color="auto" w:fill="auto"/>
          </w:tcPr>
          <w:p w14:paraId="074EDE97" w14:textId="77777777" w:rsidR="00632C48" w:rsidRPr="009301DF" w:rsidRDefault="005F6F63" w:rsidP="00220AA2">
            <w:pPr>
              <w:pStyle w:val="Inne0"/>
              <w:framePr w:w="5621" w:h="902" w:wrap="none" w:vAnchor="page" w:hAnchor="page" w:x="1966" w:y="10696"/>
              <w:spacing w:after="0"/>
            </w:pPr>
            <w:r w:rsidRPr="009301DF">
              <w:rPr>
                <w:sz w:val="22"/>
              </w:rPr>
              <w:t xml:space="preserve">• </w:t>
            </w:r>
            <w:r w:rsidRPr="009301DF">
              <w:t>Streszczenie (abstrakt)</w:t>
            </w:r>
          </w:p>
        </w:tc>
        <w:tc>
          <w:tcPr>
            <w:tcW w:w="2786" w:type="dxa"/>
            <w:shd w:val="clear" w:color="auto" w:fill="auto"/>
          </w:tcPr>
          <w:p w14:paraId="77BDF010" w14:textId="77777777" w:rsidR="00632C48" w:rsidRPr="009301DF" w:rsidRDefault="005F6F63" w:rsidP="00220AA2">
            <w:pPr>
              <w:pStyle w:val="Inne0"/>
              <w:framePr w:w="5621" w:h="902" w:wrap="none" w:vAnchor="page" w:hAnchor="page" w:x="1966" w:y="10696"/>
              <w:spacing w:after="0"/>
              <w:ind w:firstLine="740"/>
            </w:pPr>
            <w:r w:rsidRPr="009301DF">
              <w:rPr>
                <w:sz w:val="22"/>
              </w:rPr>
              <w:t xml:space="preserve">• </w:t>
            </w:r>
            <w:r w:rsidRPr="009301DF">
              <w:t>Wyniki</w:t>
            </w:r>
          </w:p>
        </w:tc>
      </w:tr>
      <w:tr w:rsidR="00632C48" w:rsidRPr="009301DF" w14:paraId="2179096F" w14:textId="77777777" w:rsidTr="00220AA2">
        <w:trPr>
          <w:trHeight w:hRule="exact" w:val="331"/>
        </w:trPr>
        <w:tc>
          <w:tcPr>
            <w:tcW w:w="2835" w:type="dxa"/>
            <w:shd w:val="clear" w:color="auto" w:fill="auto"/>
            <w:vAlign w:val="bottom"/>
          </w:tcPr>
          <w:p w14:paraId="068B2FAC" w14:textId="77777777" w:rsidR="00632C48" w:rsidRPr="009301DF" w:rsidRDefault="005F6F63" w:rsidP="00220AA2">
            <w:pPr>
              <w:pStyle w:val="Inne0"/>
              <w:framePr w:w="5621" w:h="902" w:wrap="none" w:vAnchor="page" w:hAnchor="page" w:x="1966" w:y="10696"/>
              <w:spacing w:after="0"/>
            </w:pPr>
            <w:r w:rsidRPr="009301DF">
              <w:rPr>
                <w:sz w:val="22"/>
              </w:rPr>
              <w:t xml:space="preserve">• </w:t>
            </w:r>
            <w:r w:rsidRPr="009301DF">
              <w:t>Wstęp</w:t>
            </w:r>
          </w:p>
        </w:tc>
        <w:tc>
          <w:tcPr>
            <w:tcW w:w="2786" w:type="dxa"/>
            <w:shd w:val="clear" w:color="auto" w:fill="auto"/>
            <w:vAlign w:val="bottom"/>
          </w:tcPr>
          <w:p w14:paraId="24B07B5B" w14:textId="77777777" w:rsidR="00632C48" w:rsidRPr="009301DF" w:rsidRDefault="005F6F63" w:rsidP="00220AA2">
            <w:pPr>
              <w:pStyle w:val="Inne0"/>
              <w:framePr w:w="5621" w:h="902" w:wrap="none" w:vAnchor="page" w:hAnchor="page" w:x="1966" w:y="10696"/>
              <w:spacing w:after="0"/>
              <w:ind w:firstLine="740"/>
            </w:pPr>
            <w:r w:rsidRPr="009301DF">
              <w:rPr>
                <w:sz w:val="22"/>
              </w:rPr>
              <w:t xml:space="preserve">• </w:t>
            </w:r>
            <w:r w:rsidRPr="009301DF">
              <w:t>Dyskusja</w:t>
            </w:r>
          </w:p>
        </w:tc>
      </w:tr>
      <w:tr w:rsidR="00632C48" w:rsidRPr="009301DF" w14:paraId="3148A9D2" w14:textId="77777777" w:rsidTr="00220AA2">
        <w:trPr>
          <w:trHeight w:hRule="exact" w:val="293"/>
        </w:trPr>
        <w:tc>
          <w:tcPr>
            <w:tcW w:w="2835" w:type="dxa"/>
            <w:shd w:val="clear" w:color="auto" w:fill="auto"/>
            <w:vAlign w:val="bottom"/>
          </w:tcPr>
          <w:p w14:paraId="3B6BA3B8" w14:textId="77777777" w:rsidR="00632C48" w:rsidRPr="009301DF" w:rsidRDefault="005F6F63" w:rsidP="00220AA2">
            <w:pPr>
              <w:pStyle w:val="Inne0"/>
              <w:framePr w:w="5621" w:h="902" w:wrap="none" w:vAnchor="page" w:hAnchor="page" w:x="1966" w:y="10696"/>
              <w:spacing w:after="0"/>
            </w:pPr>
            <w:r w:rsidRPr="009301DF">
              <w:rPr>
                <w:sz w:val="22"/>
              </w:rPr>
              <w:t xml:space="preserve">• </w:t>
            </w:r>
            <w:r w:rsidRPr="009301DF">
              <w:t>Materiały i metody</w:t>
            </w:r>
          </w:p>
        </w:tc>
        <w:tc>
          <w:tcPr>
            <w:tcW w:w="2786" w:type="dxa"/>
            <w:shd w:val="clear" w:color="auto" w:fill="auto"/>
            <w:vAlign w:val="bottom"/>
          </w:tcPr>
          <w:p w14:paraId="2B748CC2" w14:textId="77777777" w:rsidR="00632C48" w:rsidRPr="009301DF" w:rsidRDefault="005F6F63" w:rsidP="00220AA2">
            <w:pPr>
              <w:pStyle w:val="Inne0"/>
              <w:framePr w:w="5621" w:h="902" w:wrap="none" w:vAnchor="page" w:hAnchor="page" w:x="1966" w:y="10696"/>
              <w:spacing w:after="0"/>
              <w:ind w:firstLine="740"/>
            </w:pPr>
            <w:r w:rsidRPr="009301DF">
              <w:rPr>
                <w:sz w:val="22"/>
              </w:rPr>
              <w:t xml:space="preserve">• </w:t>
            </w:r>
            <w:r w:rsidRPr="009301DF">
              <w:t>Podsumowanie</w:t>
            </w:r>
          </w:p>
        </w:tc>
      </w:tr>
    </w:tbl>
    <w:tbl>
      <w:tblPr>
        <w:tblOverlap w:val="never"/>
        <w:tblW w:w="7655" w:type="dxa"/>
        <w:tblLayout w:type="fixed"/>
        <w:tblCellMar>
          <w:left w:w="10" w:type="dxa"/>
          <w:right w:w="10" w:type="dxa"/>
        </w:tblCellMar>
        <w:tblLook w:val="04A0" w:firstRow="1" w:lastRow="0" w:firstColumn="1" w:lastColumn="0" w:noHBand="0" w:noVBand="1"/>
      </w:tblPr>
      <w:tblGrid>
        <w:gridCol w:w="2966"/>
        <w:gridCol w:w="3980"/>
        <w:gridCol w:w="709"/>
      </w:tblGrid>
      <w:tr w:rsidR="00632C48" w:rsidRPr="009301DF" w14:paraId="664208B8" w14:textId="77777777" w:rsidTr="00220AA2">
        <w:trPr>
          <w:trHeight w:hRule="exact" w:val="293"/>
        </w:trPr>
        <w:tc>
          <w:tcPr>
            <w:tcW w:w="2966" w:type="dxa"/>
            <w:shd w:val="clear" w:color="auto" w:fill="auto"/>
          </w:tcPr>
          <w:p w14:paraId="4BA7B1BC" w14:textId="77777777" w:rsidR="00632C48" w:rsidRPr="009301DF" w:rsidRDefault="005F6F63" w:rsidP="007C1C8A">
            <w:pPr>
              <w:pStyle w:val="Inne0"/>
              <w:framePr w:w="6830" w:h="2218" w:wrap="none" w:vAnchor="page" w:hAnchor="page" w:x="1952" w:y="5603"/>
              <w:spacing w:after="0"/>
            </w:pPr>
            <w:r w:rsidRPr="009301DF">
              <w:rPr>
                <w:sz w:val="22"/>
              </w:rPr>
              <w:t xml:space="preserve">• </w:t>
            </w:r>
            <w:r w:rsidRPr="009301DF">
              <w:t>Czas</w:t>
            </w:r>
          </w:p>
        </w:tc>
        <w:tc>
          <w:tcPr>
            <w:tcW w:w="3980" w:type="dxa"/>
            <w:shd w:val="clear" w:color="auto" w:fill="auto"/>
          </w:tcPr>
          <w:p w14:paraId="7B5A47F8" w14:textId="77777777" w:rsidR="00632C48" w:rsidRPr="009301DF" w:rsidRDefault="005F6F63" w:rsidP="00220AA2">
            <w:pPr>
              <w:pStyle w:val="Inne0"/>
              <w:framePr w:w="6830" w:h="2218" w:wrap="none" w:vAnchor="page" w:hAnchor="page" w:x="1952" w:y="5603"/>
              <w:spacing w:after="0"/>
              <w:rPr>
                <w:sz w:val="22"/>
                <w:szCs w:val="22"/>
              </w:rPr>
            </w:pPr>
            <w:r w:rsidRPr="009301DF">
              <w:rPr>
                <w:sz w:val="22"/>
              </w:rPr>
              <w:t>• pH</w:t>
            </w:r>
          </w:p>
        </w:tc>
        <w:tc>
          <w:tcPr>
            <w:tcW w:w="709" w:type="dxa"/>
            <w:shd w:val="clear" w:color="auto" w:fill="auto"/>
          </w:tcPr>
          <w:p w14:paraId="5187EAA8" w14:textId="77777777" w:rsidR="00632C48" w:rsidRPr="009301DF" w:rsidRDefault="00632C48" w:rsidP="007C1C8A">
            <w:pPr>
              <w:pStyle w:val="Inne0"/>
              <w:framePr w:w="6830" w:h="2218" w:wrap="none" w:vAnchor="page" w:hAnchor="page" w:x="1952" w:y="5603"/>
              <w:spacing w:after="0"/>
            </w:pPr>
          </w:p>
        </w:tc>
      </w:tr>
      <w:tr w:rsidR="00632C48" w:rsidRPr="009301DF" w14:paraId="13ED972C" w14:textId="77777777" w:rsidTr="00220AA2">
        <w:trPr>
          <w:trHeight w:hRule="exact" w:val="341"/>
        </w:trPr>
        <w:tc>
          <w:tcPr>
            <w:tcW w:w="2966" w:type="dxa"/>
            <w:shd w:val="clear" w:color="auto" w:fill="auto"/>
            <w:vAlign w:val="bottom"/>
          </w:tcPr>
          <w:p w14:paraId="0E5564F2" w14:textId="77777777" w:rsidR="00632C48" w:rsidRPr="009301DF" w:rsidRDefault="005F6F63" w:rsidP="007C1C8A">
            <w:pPr>
              <w:pStyle w:val="Inne0"/>
              <w:framePr w:w="6830" w:h="2218" w:wrap="none" w:vAnchor="page" w:hAnchor="page" w:x="1952" w:y="5603"/>
              <w:spacing w:after="0"/>
            </w:pPr>
            <w:r w:rsidRPr="009301DF">
              <w:rPr>
                <w:sz w:val="22"/>
              </w:rPr>
              <w:t xml:space="preserve">• </w:t>
            </w:r>
            <w:r w:rsidRPr="009301DF">
              <w:t>Temperatura</w:t>
            </w:r>
          </w:p>
        </w:tc>
        <w:tc>
          <w:tcPr>
            <w:tcW w:w="3980" w:type="dxa"/>
            <w:shd w:val="clear" w:color="auto" w:fill="auto"/>
            <w:vAlign w:val="bottom"/>
          </w:tcPr>
          <w:p w14:paraId="7D0E532E" w14:textId="77777777" w:rsidR="00632C48" w:rsidRPr="009301DF" w:rsidRDefault="005F6F63" w:rsidP="00220AA2">
            <w:pPr>
              <w:pStyle w:val="Inne0"/>
              <w:framePr w:w="6830" w:h="2218" w:wrap="none" w:vAnchor="page" w:hAnchor="page" w:x="1952" w:y="5603"/>
              <w:spacing w:after="0"/>
              <w:rPr>
                <w:sz w:val="22"/>
                <w:szCs w:val="22"/>
              </w:rPr>
            </w:pPr>
            <w:r w:rsidRPr="009301DF">
              <w:rPr>
                <w:sz w:val="22"/>
              </w:rPr>
              <w:t>• Czasu kontaktu</w:t>
            </w:r>
          </w:p>
        </w:tc>
        <w:tc>
          <w:tcPr>
            <w:tcW w:w="709" w:type="dxa"/>
            <w:shd w:val="clear" w:color="auto" w:fill="auto"/>
            <w:vAlign w:val="bottom"/>
          </w:tcPr>
          <w:p w14:paraId="2999FF8D" w14:textId="77777777" w:rsidR="00632C48" w:rsidRPr="009301DF" w:rsidRDefault="00632C48" w:rsidP="007C1C8A">
            <w:pPr>
              <w:pStyle w:val="Inne0"/>
              <w:framePr w:w="6830" w:h="2218" w:wrap="none" w:vAnchor="page" w:hAnchor="page" w:x="1952" w:y="5603"/>
              <w:spacing w:after="0"/>
            </w:pPr>
          </w:p>
        </w:tc>
      </w:tr>
      <w:tr w:rsidR="00632C48" w:rsidRPr="009301DF" w14:paraId="681D63D0" w14:textId="77777777" w:rsidTr="00220AA2">
        <w:trPr>
          <w:trHeight w:hRule="exact" w:val="326"/>
        </w:trPr>
        <w:tc>
          <w:tcPr>
            <w:tcW w:w="2966" w:type="dxa"/>
            <w:shd w:val="clear" w:color="auto" w:fill="auto"/>
          </w:tcPr>
          <w:p w14:paraId="1CCD2963" w14:textId="77777777" w:rsidR="00632C48" w:rsidRPr="009301DF" w:rsidRDefault="005F6F63" w:rsidP="007C1C8A">
            <w:pPr>
              <w:pStyle w:val="Inne0"/>
              <w:framePr w:w="6830" w:h="2218" w:wrap="none" w:vAnchor="page" w:hAnchor="page" w:x="1952" w:y="5603"/>
              <w:spacing w:after="0"/>
            </w:pPr>
            <w:r w:rsidRPr="009301DF">
              <w:rPr>
                <w:sz w:val="22"/>
              </w:rPr>
              <w:t xml:space="preserve">• </w:t>
            </w:r>
            <w:r w:rsidRPr="009301DF">
              <w:t>Stężenie</w:t>
            </w:r>
          </w:p>
        </w:tc>
        <w:tc>
          <w:tcPr>
            <w:tcW w:w="3980" w:type="dxa"/>
            <w:shd w:val="clear" w:color="auto" w:fill="auto"/>
          </w:tcPr>
          <w:p w14:paraId="05B96980" w14:textId="77777777" w:rsidR="00632C48" w:rsidRPr="009301DF" w:rsidRDefault="005F6F63" w:rsidP="00220AA2">
            <w:pPr>
              <w:pStyle w:val="Inne0"/>
              <w:framePr w:w="6830" w:h="2218" w:wrap="none" w:vAnchor="page" w:hAnchor="page" w:x="1952" w:y="5603"/>
              <w:spacing w:after="0"/>
              <w:rPr>
                <w:sz w:val="22"/>
                <w:szCs w:val="22"/>
              </w:rPr>
            </w:pPr>
            <w:r w:rsidRPr="009301DF">
              <w:rPr>
                <w:sz w:val="22"/>
              </w:rPr>
              <w:t>• Pokrycie produktu</w:t>
            </w:r>
          </w:p>
        </w:tc>
        <w:tc>
          <w:tcPr>
            <w:tcW w:w="709" w:type="dxa"/>
            <w:shd w:val="clear" w:color="auto" w:fill="auto"/>
          </w:tcPr>
          <w:p w14:paraId="3510FF42" w14:textId="77777777" w:rsidR="00632C48" w:rsidRPr="009301DF" w:rsidRDefault="00632C48" w:rsidP="007C1C8A">
            <w:pPr>
              <w:pStyle w:val="Inne0"/>
              <w:framePr w:w="6830" w:h="2218" w:wrap="none" w:vAnchor="page" w:hAnchor="page" w:x="1952" w:y="5603"/>
              <w:spacing w:after="0"/>
            </w:pPr>
          </w:p>
        </w:tc>
      </w:tr>
      <w:tr w:rsidR="00632C48" w:rsidRPr="009301DF" w14:paraId="16061717" w14:textId="77777777" w:rsidTr="00220AA2">
        <w:trPr>
          <w:trHeight w:hRule="exact" w:val="341"/>
        </w:trPr>
        <w:tc>
          <w:tcPr>
            <w:tcW w:w="2966" w:type="dxa"/>
            <w:shd w:val="clear" w:color="auto" w:fill="auto"/>
            <w:vAlign w:val="bottom"/>
          </w:tcPr>
          <w:p w14:paraId="4A8AFE6D" w14:textId="77777777" w:rsidR="00632C48" w:rsidRPr="009301DF" w:rsidRDefault="005F6F63" w:rsidP="007C1C8A">
            <w:pPr>
              <w:pStyle w:val="Inne0"/>
              <w:framePr w:w="6830" w:h="2218" w:wrap="none" w:vAnchor="page" w:hAnchor="page" w:x="1952" w:y="5603"/>
              <w:spacing w:after="0"/>
            </w:pPr>
            <w:r w:rsidRPr="009301DF">
              <w:rPr>
                <w:sz w:val="22"/>
              </w:rPr>
              <w:t xml:space="preserve">• </w:t>
            </w:r>
            <w:r w:rsidRPr="009301DF">
              <w:t>Wilgotność</w:t>
            </w:r>
          </w:p>
        </w:tc>
        <w:tc>
          <w:tcPr>
            <w:tcW w:w="3980" w:type="dxa"/>
            <w:shd w:val="clear" w:color="auto" w:fill="auto"/>
            <w:vAlign w:val="bottom"/>
          </w:tcPr>
          <w:p w14:paraId="514F6999" w14:textId="77777777" w:rsidR="00632C48" w:rsidRPr="009301DF" w:rsidRDefault="005F6F63" w:rsidP="00220AA2">
            <w:pPr>
              <w:pStyle w:val="Inne0"/>
              <w:framePr w:w="6830" w:h="2218" w:wrap="none" w:vAnchor="page" w:hAnchor="page" w:x="1952" w:y="5603"/>
              <w:spacing w:after="0"/>
              <w:rPr>
                <w:sz w:val="22"/>
                <w:szCs w:val="22"/>
              </w:rPr>
            </w:pPr>
            <w:r w:rsidRPr="009301DF">
              <w:rPr>
                <w:sz w:val="22"/>
              </w:rPr>
              <w:t>• Konfiguracja przestrzenna</w:t>
            </w:r>
          </w:p>
        </w:tc>
        <w:tc>
          <w:tcPr>
            <w:tcW w:w="709" w:type="dxa"/>
            <w:shd w:val="clear" w:color="auto" w:fill="auto"/>
            <w:vAlign w:val="bottom"/>
          </w:tcPr>
          <w:p w14:paraId="6E92EFCA" w14:textId="77777777" w:rsidR="00632C48" w:rsidRPr="009301DF" w:rsidRDefault="00632C48" w:rsidP="00220AA2">
            <w:pPr>
              <w:pStyle w:val="Inne0"/>
              <w:framePr w:w="6830" w:h="2218" w:wrap="none" w:vAnchor="page" w:hAnchor="page" w:x="1952" w:y="5603"/>
              <w:spacing w:after="0"/>
              <w:jc w:val="both"/>
            </w:pPr>
          </w:p>
        </w:tc>
      </w:tr>
      <w:tr w:rsidR="00632C48" w:rsidRPr="009301DF" w14:paraId="7BAE4EFB" w14:textId="77777777" w:rsidTr="00220AA2">
        <w:trPr>
          <w:trHeight w:hRule="exact" w:val="312"/>
        </w:trPr>
        <w:tc>
          <w:tcPr>
            <w:tcW w:w="2966" w:type="dxa"/>
            <w:shd w:val="clear" w:color="auto" w:fill="auto"/>
            <w:vAlign w:val="bottom"/>
          </w:tcPr>
          <w:p w14:paraId="02B086D4" w14:textId="77777777" w:rsidR="00632C48" w:rsidRPr="009301DF" w:rsidRDefault="005F6F63" w:rsidP="007C1C8A">
            <w:pPr>
              <w:pStyle w:val="Inne0"/>
              <w:framePr w:w="6830" w:h="2218" w:wrap="none" w:vAnchor="page" w:hAnchor="page" w:x="1952" w:y="5603"/>
              <w:spacing w:after="0"/>
            </w:pPr>
            <w:r w:rsidRPr="009301DF">
              <w:rPr>
                <w:sz w:val="22"/>
              </w:rPr>
              <w:t xml:space="preserve">• </w:t>
            </w:r>
            <w:r w:rsidRPr="009301DF">
              <w:t>Czas przebywania</w:t>
            </w:r>
          </w:p>
        </w:tc>
        <w:tc>
          <w:tcPr>
            <w:tcW w:w="3980" w:type="dxa"/>
            <w:shd w:val="clear" w:color="auto" w:fill="auto"/>
            <w:vAlign w:val="bottom"/>
          </w:tcPr>
          <w:p w14:paraId="493132B4" w14:textId="77777777" w:rsidR="00632C48" w:rsidRPr="009301DF" w:rsidRDefault="005F6F63" w:rsidP="00220AA2">
            <w:pPr>
              <w:pStyle w:val="Inne0"/>
              <w:framePr w:w="6830" w:h="2218" w:wrap="none" w:vAnchor="page" w:hAnchor="page" w:x="1952" w:y="5603"/>
              <w:spacing w:after="0"/>
              <w:rPr>
                <w:sz w:val="22"/>
                <w:szCs w:val="22"/>
              </w:rPr>
            </w:pPr>
            <w:r w:rsidRPr="009301DF">
              <w:rPr>
                <w:sz w:val="22"/>
              </w:rPr>
              <w:t>• Ciśnienie</w:t>
            </w:r>
          </w:p>
        </w:tc>
        <w:tc>
          <w:tcPr>
            <w:tcW w:w="709" w:type="dxa"/>
            <w:shd w:val="clear" w:color="auto" w:fill="auto"/>
            <w:vAlign w:val="bottom"/>
          </w:tcPr>
          <w:p w14:paraId="7F730C5D" w14:textId="77777777" w:rsidR="00632C48" w:rsidRPr="009301DF" w:rsidRDefault="00632C48" w:rsidP="007C1C8A">
            <w:pPr>
              <w:pStyle w:val="Inne0"/>
              <w:framePr w:w="6830" w:h="2218" w:wrap="none" w:vAnchor="page" w:hAnchor="page" w:x="1952" w:y="5603"/>
              <w:spacing w:after="0"/>
            </w:pPr>
          </w:p>
        </w:tc>
      </w:tr>
      <w:tr w:rsidR="004365BD" w:rsidRPr="009301DF" w14:paraId="6B078440" w14:textId="77777777" w:rsidTr="00220AA2">
        <w:trPr>
          <w:trHeight w:hRule="exact" w:val="346"/>
        </w:trPr>
        <w:tc>
          <w:tcPr>
            <w:tcW w:w="2966" w:type="dxa"/>
            <w:shd w:val="clear" w:color="auto" w:fill="auto"/>
            <w:vAlign w:val="bottom"/>
          </w:tcPr>
          <w:p w14:paraId="6918F57B" w14:textId="77777777" w:rsidR="004365BD" w:rsidRPr="009301DF" w:rsidRDefault="004365BD" w:rsidP="007C1C8A">
            <w:pPr>
              <w:pStyle w:val="Inne0"/>
              <w:framePr w:w="6830" w:h="2218" w:wrap="none" w:vAnchor="page" w:hAnchor="page" w:x="1952" w:y="5603"/>
              <w:spacing w:after="0"/>
            </w:pPr>
            <w:r w:rsidRPr="009301DF">
              <w:rPr>
                <w:sz w:val="22"/>
              </w:rPr>
              <w:t xml:space="preserve">• </w:t>
            </w:r>
            <w:r w:rsidRPr="009301DF">
              <w:t>Aktywność wody</w:t>
            </w:r>
          </w:p>
        </w:tc>
        <w:tc>
          <w:tcPr>
            <w:tcW w:w="3980" w:type="dxa"/>
            <w:shd w:val="clear" w:color="auto" w:fill="auto"/>
            <w:vAlign w:val="bottom"/>
          </w:tcPr>
          <w:p w14:paraId="7D8E6B16" w14:textId="77777777" w:rsidR="004365BD" w:rsidRPr="009301DF" w:rsidRDefault="004365BD" w:rsidP="00220AA2">
            <w:pPr>
              <w:pStyle w:val="Inne0"/>
              <w:framePr w:w="6830" w:h="2218" w:wrap="none" w:vAnchor="page" w:hAnchor="page" w:x="1952" w:y="5603"/>
              <w:spacing w:after="0"/>
              <w:rPr>
                <w:sz w:val="22"/>
                <w:szCs w:val="22"/>
              </w:rPr>
            </w:pPr>
            <w:r w:rsidRPr="009301DF">
              <w:rPr>
                <w:sz w:val="22"/>
              </w:rPr>
              <w:t>• Ustawienia lub kalibracja sprzętu</w:t>
            </w:r>
          </w:p>
        </w:tc>
        <w:tc>
          <w:tcPr>
            <w:tcW w:w="709" w:type="dxa"/>
            <w:vMerge w:val="restart"/>
            <w:shd w:val="clear" w:color="auto" w:fill="auto"/>
            <w:vAlign w:val="bottom"/>
          </w:tcPr>
          <w:p w14:paraId="5BAF316A" w14:textId="4A5E4E5C" w:rsidR="004365BD" w:rsidRPr="009301DF" w:rsidRDefault="004365BD" w:rsidP="007C1C8A">
            <w:pPr>
              <w:pStyle w:val="Inne0"/>
              <w:framePr w:w="6830" w:h="2218" w:wrap="none" w:vAnchor="page" w:hAnchor="page" w:x="1952" w:y="5603"/>
              <w:spacing w:after="0"/>
            </w:pPr>
          </w:p>
        </w:tc>
      </w:tr>
      <w:tr w:rsidR="004365BD" w:rsidRPr="009301DF" w14:paraId="5331DE0C" w14:textId="77777777" w:rsidTr="00220AA2">
        <w:trPr>
          <w:trHeight w:hRule="exact" w:val="259"/>
        </w:trPr>
        <w:tc>
          <w:tcPr>
            <w:tcW w:w="2966" w:type="dxa"/>
            <w:shd w:val="clear" w:color="auto" w:fill="auto"/>
          </w:tcPr>
          <w:p w14:paraId="1A6975CD" w14:textId="77777777" w:rsidR="004365BD" w:rsidRPr="009301DF" w:rsidRDefault="004365BD" w:rsidP="007C1C8A">
            <w:pPr>
              <w:framePr w:w="6830" w:h="2218" w:wrap="none" w:vAnchor="page" w:hAnchor="page" w:x="1952" w:y="5603"/>
              <w:rPr>
                <w:sz w:val="10"/>
                <w:szCs w:val="10"/>
              </w:rPr>
            </w:pPr>
          </w:p>
        </w:tc>
        <w:tc>
          <w:tcPr>
            <w:tcW w:w="3980" w:type="dxa"/>
            <w:shd w:val="clear" w:color="auto" w:fill="auto"/>
          </w:tcPr>
          <w:p w14:paraId="5AD8F856" w14:textId="77777777" w:rsidR="004365BD" w:rsidRPr="009301DF" w:rsidRDefault="004365BD" w:rsidP="007C1C8A">
            <w:pPr>
              <w:framePr w:w="6830" w:h="2218" w:wrap="none" w:vAnchor="page" w:hAnchor="page" w:x="1952" w:y="5603"/>
              <w:rPr>
                <w:sz w:val="10"/>
                <w:szCs w:val="10"/>
              </w:rPr>
            </w:pPr>
          </w:p>
        </w:tc>
        <w:tc>
          <w:tcPr>
            <w:tcW w:w="709" w:type="dxa"/>
            <w:vMerge/>
            <w:shd w:val="clear" w:color="auto" w:fill="auto"/>
            <w:vAlign w:val="bottom"/>
          </w:tcPr>
          <w:p w14:paraId="50BBE44A" w14:textId="7B35C91E" w:rsidR="004365BD" w:rsidRPr="009301DF" w:rsidRDefault="004365BD" w:rsidP="007C1C8A">
            <w:pPr>
              <w:pStyle w:val="Inne0"/>
              <w:framePr w:w="6830" w:h="2218" w:wrap="none" w:vAnchor="page" w:hAnchor="page" w:x="1952" w:y="5603"/>
              <w:spacing w:after="0"/>
            </w:pPr>
          </w:p>
        </w:tc>
      </w:tr>
    </w:tbl>
    <w:p w14:paraId="3B20532B"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6223662C" w14:textId="7975AC7C" w:rsidR="00632C48" w:rsidRPr="009301DF" w:rsidRDefault="00220AA2">
      <w:pPr>
        <w:spacing w:line="1" w:lineRule="exact"/>
      </w:pPr>
      <w:r w:rsidRPr="009301DF">
        <w:rPr>
          <w:noProof/>
        </w:rPr>
        <w:lastRenderedPageBreak/>
        <w:drawing>
          <wp:anchor distT="0" distB="0" distL="0" distR="0" simplePos="0" relativeHeight="62914707" behindDoc="1" locked="0" layoutInCell="1" allowOverlap="1" wp14:anchorId="15E494F4" wp14:editId="56E33F11">
            <wp:simplePos x="0" y="0"/>
            <wp:positionH relativeFrom="page">
              <wp:posOffset>419100</wp:posOffset>
            </wp:positionH>
            <wp:positionV relativeFrom="page">
              <wp:posOffset>4448175</wp:posOffset>
            </wp:positionV>
            <wp:extent cx="6976745" cy="5372100"/>
            <wp:effectExtent l="0" t="0" r="0" b="0"/>
            <wp:wrapNone/>
            <wp:docPr id="35" name="Shape 35"/>
            <wp:cNvGraphicFramePr/>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73"/>
                    <a:stretch/>
                  </pic:blipFill>
                  <pic:spPr>
                    <a:xfrm>
                      <a:off x="0" y="0"/>
                      <a:ext cx="6976745" cy="5372100"/>
                    </a:xfrm>
                    <a:prstGeom prst="rect">
                      <a:avLst/>
                    </a:prstGeom>
                  </pic:spPr>
                </pic:pic>
              </a:graphicData>
            </a:graphic>
            <wp14:sizeRelV relativeFrom="margin">
              <wp14:pctHeight>0</wp14:pctHeight>
            </wp14:sizeRelV>
          </wp:anchor>
        </w:drawing>
      </w:r>
    </w:p>
    <w:p w14:paraId="03137FC1" w14:textId="77777777" w:rsidR="00632C48" w:rsidRPr="009301DF" w:rsidRDefault="005F6F63">
      <w:pPr>
        <w:pStyle w:val="Podpisobrazu0"/>
        <w:framePr w:w="7459" w:h="1214" w:hRule="exact" w:wrap="none" w:vAnchor="page" w:hAnchor="page" w:x="3632" w:y="1162"/>
        <w:spacing w:after="0"/>
      </w:pPr>
      <w:r w:rsidRPr="009301DF">
        <w:t>Czytając streszczenie, należy najpierw rozważyć i zweryfikować swoją wiedzę na dany temat. Należy omówić badanie w zespole ds. HACCP i zrozumieć, w jaki sposób można je zastosować przy podejmowaniu decyzji dotyczących HACCP.</w:t>
      </w:r>
    </w:p>
    <w:p w14:paraId="1E18B375" w14:textId="77777777" w:rsidR="00632C48" w:rsidRPr="009301DF" w:rsidRDefault="005F6F63">
      <w:pPr>
        <w:pStyle w:val="Teksttreci0"/>
        <w:framePr w:w="9254" w:h="4320" w:hRule="exact" w:wrap="none" w:vAnchor="page" w:hAnchor="page" w:x="1472" w:y="2770"/>
      </w:pPr>
      <w:r w:rsidRPr="009301DF">
        <w:rPr>
          <w:b/>
        </w:rPr>
        <w:t>Wstęp</w:t>
      </w:r>
    </w:p>
    <w:p w14:paraId="34A946A8" w14:textId="77777777" w:rsidR="00632C48" w:rsidRPr="009301DF" w:rsidRDefault="005F6F63">
      <w:pPr>
        <w:pStyle w:val="Teksttreci0"/>
        <w:framePr w:w="9254" w:h="4320" w:hRule="exact" w:wrap="none" w:vAnchor="page" w:hAnchor="page" w:x="1472" w:y="2770"/>
        <w:spacing w:after="0"/>
      </w:pPr>
      <w:r w:rsidRPr="009301DF">
        <w:t>Ta sekcja przedstawia tło niezbędne czytelnikowi do zrozumienia, dlaczego ustalenia zawarte w artykule stanowią postęp w wiedzy w dziedzinie badań. Zazwyczaj wprowadzenie:</w:t>
      </w:r>
    </w:p>
    <w:p w14:paraId="5D085985" w14:textId="75ED6C84" w:rsidR="00632C48" w:rsidRPr="009301DF" w:rsidRDefault="005F6F63" w:rsidP="004365BD">
      <w:pPr>
        <w:pStyle w:val="Teksttreci0"/>
        <w:framePr w:w="9254" w:h="4320" w:hRule="exact" w:wrap="none" w:vAnchor="page" w:hAnchor="page" w:x="1472" w:y="2770"/>
        <w:numPr>
          <w:ilvl w:val="0"/>
          <w:numId w:val="6"/>
        </w:numPr>
        <w:spacing w:after="0"/>
      </w:pPr>
      <w:r w:rsidRPr="009301DF">
        <w:t>Najpierw opisuje przyjęty stan wiedzy w danej dziedzinie.</w:t>
      </w:r>
    </w:p>
    <w:p w14:paraId="245F2FE4" w14:textId="3068F03A" w:rsidR="00632C48" w:rsidRPr="009301DF" w:rsidRDefault="005F6F63" w:rsidP="004365BD">
      <w:pPr>
        <w:pStyle w:val="Teksttreci0"/>
        <w:framePr w:w="9254" w:h="4320" w:hRule="exact" w:wrap="none" w:vAnchor="page" w:hAnchor="page" w:x="1472" w:y="2770"/>
        <w:numPr>
          <w:ilvl w:val="0"/>
          <w:numId w:val="6"/>
        </w:numPr>
      </w:pPr>
      <w:r w:rsidRPr="009301DF">
        <w:t>Następnie skupia się bardziej szczegółowo na konkretnym aspekcie, zwykle opisując odkrycie lub zestaw odkryć, które doprowadziły do pracy opisanej w artykule (tj. cel lub uzasadnienie).</w:t>
      </w:r>
    </w:p>
    <w:p w14:paraId="72BCF8DE" w14:textId="77777777" w:rsidR="00632C48" w:rsidRPr="009301DF" w:rsidRDefault="005F6F63">
      <w:pPr>
        <w:pStyle w:val="Teksttreci0"/>
        <w:framePr w:w="9254" w:h="4320" w:hRule="exact" w:wrap="none" w:vAnchor="page" w:hAnchor="page" w:x="1472" w:y="2770"/>
      </w:pPr>
      <w:r w:rsidRPr="009301DF">
        <w:rPr>
          <w:b/>
        </w:rPr>
        <w:t>Materiały i metody</w:t>
      </w:r>
    </w:p>
    <w:p w14:paraId="56A461F2" w14:textId="77777777" w:rsidR="00632C48" w:rsidRPr="009301DF" w:rsidRDefault="005F6F63">
      <w:pPr>
        <w:pStyle w:val="Teksttreci0"/>
        <w:framePr w:w="9254" w:h="4320" w:hRule="exact" w:wrap="none" w:vAnchor="page" w:hAnchor="page" w:x="1472" w:y="2770"/>
        <w:spacing w:after="0"/>
      </w:pPr>
      <w:r w:rsidRPr="009301DF">
        <w:t>W niektórych czasopismach ta sekcja jest ostatnią, ale nie w większości czasopism związanych z naukami o żywności. Jej celem jest opisanie materiałów użytych w eksperymentach i metod, za pomocą których eksperymenty zostały przeprowadzone.</w:t>
      </w:r>
    </w:p>
    <w:p w14:paraId="7B4E6025" w14:textId="77777777" w:rsidR="00632C48" w:rsidRPr="009301DF" w:rsidRDefault="005F6F63" w:rsidP="007C1C8A">
      <w:pPr>
        <w:pStyle w:val="Podpisobrazu0"/>
        <w:framePr w:w="10152" w:h="7523" w:hRule="exact" w:wrap="none" w:vAnchor="page" w:hAnchor="page" w:x="1069" w:y="7434"/>
        <w:spacing w:after="260"/>
      </w:pPr>
      <w:r w:rsidRPr="009301DF">
        <w:rPr>
          <w:b/>
        </w:rPr>
        <w:t xml:space="preserve">Pytania, które należy zadać podczas czytania sekcji </w:t>
      </w:r>
      <w:r w:rsidRPr="009301DF">
        <w:rPr>
          <w:b/>
          <w:i/>
          <w:iCs/>
        </w:rPr>
        <w:t>Materiały i Metody</w:t>
      </w:r>
    </w:p>
    <w:p w14:paraId="08CB667A" w14:textId="7015E98E" w:rsidR="00632C48" w:rsidRPr="009301DF" w:rsidRDefault="005F6F63" w:rsidP="007C1C8A">
      <w:pPr>
        <w:pStyle w:val="Podpisobrazu0"/>
        <w:framePr w:w="10152" w:h="7523" w:hRule="exact" w:wrap="none" w:vAnchor="page" w:hAnchor="page" w:x="1069" w:y="7434"/>
        <w:numPr>
          <w:ilvl w:val="0"/>
          <w:numId w:val="6"/>
        </w:numPr>
        <w:spacing w:after="0" w:line="262" w:lineRule="auto"/>
      </w:pPr>
      <w:r w:rsidRPr="009301DF">
        <w:t>Jakie produkty spożywcze badali naukowcy?</w:t>
      </w:r>
    </w:p>
    <w:p w14:paraId="7E2713AF" w14:textId="13ADE85F" w:rsidR="00632C48" w:rsidRPr="009301DF" w:rsidRDefault="005F6F63" w:rsidP="007C1C8A">
      <w:pPr>
        <w:pStyle w:val="Podpisobrazu0"/>
        <w:framePr w:w="10152" w:h="7523" w:hRule="exact" w:wrap="none" w:vAnchor="page" w:hAnchor="page" w:x="1069" w:y="7434"/>
        <w:numPr>
          <w:ilvl w:val="0"/>
          <w:numId w:val="6"/>
        </w:numPr>
        <w:spacing w:after="0"/>
      </w:pPr>
      <w:r w:rsidRPr="009301DF">
        <w:t>Jak podobne są te produkty do tych, które przetwarzasz?</w:t>
      </w:r>
    </w:p>
    <w:p w14:paraId="3C2B17B6" w14:textId="11B83AB0" w:rsidR="00632C48" w:rsidRPr="009301DF" w:rsidRDefault="005F6F63" w:rsidP="007C1C8A">
      <w:pPr>
        <w:pStyle w:val="Podpisobrazu0"/>
        <w:framePr w:w="10152" w:h="7523" w:hRule="exact" w:wrap="none" w:vAnchor="page" w:hAnchor="page" w:x="1069" w:y="7434"/>
        <w:numPr>
          <w:ilvl w:val="0"/>
          <w:numId w:val="6"/>
        </w:numPr>
        <w:spacing w:after="0"/>
      </w:pPr>
      <w:r w:rsidRPr="009301DF">
        <w:t>Jeśli podano charakterystykę produktu (np. % soli, tłuszczu, wilgotności itp.), to na ile jest ona podobna do charakterystyki Twojego produktu?</w:t>
      </w:r>
    </w:p>
    <w:p w14:paraId="5C3973C3" w14:textId="63B031ED" w:rsidR="00632C48" w:rsidRPr="009301DF" w:rsidRDefault="005F6F63" w:rsidP="007C1C8A">
      <w:pPr>
        <w:pStyle w:val="Podpisobrazu0"/>
        <w:framePr w:w="10152" w:h="7523" w:hRule="exact" w:wrap="none" w:vAnchor="page" w:hAnchor="page" w:x="1069" w:y="7434"/>
        <w:numPr>
          <w:ilvl w:val="0"/>
          <w:numId w:val="6"/>
        </w:numPr>
        <w:spacing w:after="0"/>
      </w:pPr>
      <w:r w:rsidRPr="009301DF">
        <w:t>Jakie zagrożenia badali naukowcy? Czy są to te same zagrożenia, które zostały zidentyfikowane w Twojej analizie zagrożeń? A może badano tylko surogaty lub organizmy wskaźnikowe?</w:t>
      </w:r>
    </w:p>
    <w:p w14:paraId="231AE718" w14:textId="79782F94" w:rsidR="00632C48" w:rsidRPr="009301DF" w:rsidRDefault="005F6F63" w:rsidP="007C1C8A">
      <w:pPr>
        <w:pStyle w:val="Podpisobrazu0"/>
        <w:framePr w:w="10152" w:h="7523" w:hRule="exact" w:wrap="none" w:vAnchor="page" w:hAnchor="page" w:x="1069" w:y="7434"/>
        <w:numPr>
          <w:ilvl w:val="0"/>
          <w:numId w:val="6"/>
        </w:numPr>
        <w:spacing w:after="0"/>
      </w:pPr>
      <w:r w:rsidRPr="009301DF">
        <w:t>Czy można określić, które parametry operacyjne zostały zmierzone? Na przykład:</w:t>
      </w:r>
    </w:p>
    <w:p w14:paraId="5A2042BB" w14:textId="5FC9E625" w:rsidR="00632C48" w:rsidRPr="009301DF" w:rsidRDefault="005F6F63" w:rsidP="007C1C8A">
      <w:pPr>
        <w:pStyle w:val="Podpisobrazu0"/>
        <w:framePr w:w="10152" w:h="7523" w:hRule="exact" w:wrap="none" w:vAnchor="page" w:hAnchor="page" w:x="1069" w:y="7434"/>
        <w:numPr>
          <w:ilvl w:val="1"/>
          <w:numId w:val="25"/>
        </w:numPr>
        <w:spacing w:after="0"/>
        <w:ind w:left="1560" w:hanging="426"/>
      </w:pPr>
      <w:r w:rsidRPr="009301DF">
        <w:t>pH produktu;</w:t>
      </w:r>
    </w:p>
    <w:p w14:paraId="22ACF6EC" w14:textId="5F8F118D" w:rsidR="00632C48" w:rsidRPr="009301DF" w:rsidRDefault="005F6F63" w:rsidP="007C1C8A">
      <w:pPr>
        <w:pStyle w:val="Podpisobrazu0"/>
        <w:framePr w:w="10152" w:h="7523" w:hRule="exact" w:wrap="none" w:vAnchor="page" w:hAnchor="page" w:x="1069" w:y="7434"/>
        <w:numPr>
          <w:ilvl w:val="1"/>
          <w:numId w:val="25"/>
        </w:numPr>
        <w:spacing w:after="0"/>
        <w:ind w:left="1560" w:hanging="426"/>
      </w:pPr>
      <w:r w:rsidRPr="009301DF">
        <w:t>Temperatura produktu lub tuszy;</w:t>
      </w:r>
    </w:p>
    <w:p w14:paraId="6089804B" w14:textId="0EA12E95" w:rsidR="00632C48" w:rsidRPr="009301DF" w:rsidRDefault="005F6F63" w:rsidP="007C1C8A">
      <w:pPr>
        <w:pStyle w:val="Podpisobrazu0"/>
        <w:framePr w:w="10152" w:h="7523" w:hRule="exact" w:wrap="none" w:vAnchor="page" w:hAnchor="page" w:x="1069" w:y="7434"/>
        <w:numPr>
          <w:ilvl w:val="1"/>
          <w:numId w:val="25"/>
        </w:numPr>
        <w:spacing w:after="0" w:line="223" w:lineRule="auto"/>
        <w:ind w:left="1560" w:hanging="426"/>
      </w:pPr>
      <w:r w:rsidRPr="009301DF">
        <w:t>Temperatura w laboratorium i/lub zakładzie przetwórczym;</w:t>
      </w:r>
    </w:p>
    <w:p w14:paraId="160B9ECE" w14:textId="5884D43B" w:rsidR="00632C48" w:rsidRPr="009301DF" w:rsidRDefault="005F6F63" w:rsidP="007C1C8A">
      <w:pPr>
        <w:pStyle w:val="Podpisobrazu0"/>
        <w:framePr w:w="10152" w:h="7523" w:hRule="exact" w:wrap="none" w:vAnchor="page" w:hAnchor="page" w:x="1069" w:y="7434"/>
        <w:numPr>
          <w:ilvl w:val="1"/>
          <w:numId w:val="25"/>
        </w:numPr>
        <w:spacing w:after="0" w:line="223" w:lineRule="auto"/>
        <w:ind w:left="1560" w:hanging="426"/>
      </w:pPr>
      <w:r w:rsidRPr="009301DF">
        <w:t>Ciśnienie lub temperatura, w której zastosowano środek myjący lub przeciwdrobnoustrojowy;</w:t>
      </w:r>
    </w:p>
    <w:p w14:paraId="56D80B58" w14:textId="7ACECDEC" w:rsidR="00632C48" w:rsidRPr="009301DF" w:rsidRDefault="005F6F63" w:rsidP="007C1C8A">
      <w:pPr>
        <w:pStyle w:val="Podpisobrazu0"/>
        <w:framePr w:w="10152" w:h="7523" w:hRule="exact" w:wrap="none" w:vAnchor="page" w:hAnchor="page" w:x="1069" w:y="7434"/>
        <w:numPr>
          <w:ilvl w:val="1"/>
          <w:numId w:val="25"/>
        </w:numPr>
        <w:spacing w:after="0"/>
        <w:ind w:left="1560" w:hanging="426"/>
      </w:pPr>
      <w:r w:rsidRPr="009301DF">
        <w:t>Czas trwania działania interwencyjnego.</w:t>
      </w:r>
    </w:p>
    <w:p w14:paraId="393805E3" w14:textId="0B26F1C6" w:rsidR="00632C48" w:rsidRPr="009301DF" w:rsidRDefault="005F6F63" w:rsidP="007C1C8A">
      <w:pPr>
        <w:pStyle w:val="Podpisobrazu0"/>
        <w:framePr w:w="10152" w:h="7523" w:hRule="exact" w:wrap="none" w:vAnchor="page" w:hAnchor="page" w:x="1069" w:y="7434"/>
        <w:numPr>
          <w:ilvl w:val="0"/>
          <w:numId w:val="6"/>
        </w:numPr>
        <w:spacing w:after="0"/>
      </w:pPr>
      <w:r w:rsidRPr="009301DF">
        <w:t>Gdzie w procesie lub na produkcie dokonano pomiarów?</w:t>
      </w:r>
    </w:p>
    <w:p w14:paraId="3546A3EA" w14:textId="0E25EB8B" w:rsidR="00632C48" w:rsidRPr="009301DF" w:rsidRDefault="005F6F63" w:rsidP="007C1C8A">
      <w:pPr>
        <w:pStyle w:val="Podpisobrazu0"/>
        <w:framePr w:w="10152" w:h="7523" w:hRule="exact" w:wrap="none" w:vAnchor="page" w:hAnchor="page" w:x="1069" w:y="7434"/>
        <w:numPr>
          <w:ilvl w:val="1"/>
          <w:numId w:val="25"/>
        </w:numPr>
        <w:spacing w:after="0" w:line="223" w:lineRule="auto"/>
        <w:ind w:left="1560" w:hanging="426"/>
      </w:pPr>
      <w:r w:rsidRPr="009301DF">
        <w:t>Czy zakład przeprowadza pomiary w tych miejscach?</w:t>
      </w:r>
    </w:p>
    <w:p w14:paraId="720B28AA" w14:textId="10B67347" w:rsidR="00632C48" w:rsidRPr="009301DF" w:rsidRDefault="005F6F63" w:rsidP="007C1C8A">
      <w:pPr>
        <w:pStyle w:val="Podpisobrazu0"/>
        <w:framePr w:w="10152" w:h="7523" w:hRule="exact" w:wrap="none" w:vAnchor="page" w:hAnchor="page" w:x="1069" w:y="7434"/>
        <w:numPr>
          <w:ilvl w:val="0"/>
          <w:numId w:val="6"/>
        </w:numPr>
        <w:spacing w:after="0"/>
      </w:pPr>
      <w:r w:rsidRPr="009301DF">
        <w:t>Jakie parametry, jeśli w ogóle, były utrzymywane na stałym poziomie w warunkach eksperymentalnych?</w:t>
      </w:r>
    </w:p>
    <w:p w14:paraId="3123E7BD" w14:textId="42712F0E" w:rsidR="00632C48" w:rsidRPr="009301DF" w:rsidRDefault="005F6F63" w:rsidP="007C1C8A">
      <w:pPr>
        <w:pStyle w:val="Podpisobrazu0"/>
        <w:framePr w:w="10152" w:h="7523" w:hRule="exact" w:wrap="none" w:vAnchor="page" w:hAnchor="page" w:x="1069" w:y="7434"/>
        <w:numPr>
          <w:ilvl w:val="0"/>
          <w:numId w:val="6"/>
        </w:numPr>
        <w:spacing w:after="260"/>
      </w:pPr>
      <w:r w:rsidRPr="009301DF">
        <w:t>Jakie parametry, jeśli w ogóle, były zmieniane lub modyfikowane podczas badań?</w:t>
      </w:r>
    </w:p>
    <w:p w14:paraId="497DF961" w14:textId="77777777" w:rsidR="00632C48" w:rsidRPr="009301DF" w:rsidRDefault="005F6F63" w:rsidP="007C1C8A">
      <w:pPr>
        <w:pStyle w:val="Podpisobrazu0"/>
        <w:framePr w:w="10152" w:h="7523" w:hRule="exact" w:wrap="none" w:vAnchor="page" w:hAnchor="page" w:x="1069" w:y="7434"/>
        <w:spacing w:after="0"/>
      </w:pPr>
      <w:r w:rsidRPr="009301DF">
        <w:t>Chociaż niektóre parametry mogą, ale nie muszą być manipulowane eksperymentalnie, wszystkie są ważne i należy wziąć pod uwagę ich wpływ na skuteczność działań interwencyjnych. Należy pamiętać, że niektóre parametry mierzone w badaniu nie są związane ze skutecznością działań interwencyjnych, a zatem nie są krytycznymi parametrami operacyjnymi.</w:t>
      </w:r>
    </w:p>
    <w:p w14:paraId="00D4CF2A" w14:textId="7801D5D8"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6" behindDoc="1" locked="0" layoutInCell="1" allowOverlap="1" wp14:anchorId="399D7B58" wp14:editId="63D5F1FD">
            <wp:simplePos x="0" y="0"/>
            <wp:positionH relativeFrom="page">
              <wp:posOffset>1671955</wp:posOffset>
            </wp:positionH>
            <wp:positionV relativeFrom="page">
              <wp:posOffset>508635</wp:posOffset>
            </wp:positionV>
            <wp:extent cx="5800090" cy="1109345"/>
            <wp:effectExtent l="0" t="0" r="0" b="0"/>
            <wp:wrapNone/>
            <wp:docPr id="33" name="Shape 33"/>
            <wp:cNvGraphicFramePr/>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74"/>
                    <a:stretch/>
                  </pic:blipFill>
                  <pic:spPr>
                    <a:xfrm>
                      <a:off x="0" y="0"/>
                      <a:ext cx="5800090" cy="1109345"/>
                    </a:xfrm>
                    <a:prstGeom prst="rect">
                      <a:avLst/>
                    </a:prstGeom>
                  </pic:spPr>
                </pic:pic>
              </a:graphicData>
            </a:graphic>
          </wp:anchor>
        </w:drawing>
      </w:r>
    </w:p>
    <w:p w14:paraId="7F1C3853" w14:textId="77777777" w:rsidR="00632C48" w:rsidRPr="009301DF" w:rsidRDefault="00632C48">
      <w:pPr>
        <w:spacing w:line="1" w:lineRule="exact"/>
      </w:pPr>
    </w:p>
    <w:p w14:paraId="78A9BF96" w14:textId="77777777" w:rsidR="00632C48" w:rsidRPr="009301DF" w:rsidRDefault="005F6F63" w:rsidP="007C1C8A">
      <w:pPr>
        <w:pStyle w:val="Teksttreci0"/>
        <w:framePr w:w="9480" w:h="5768" w:hRule="exact" w:wrap="none" w:vAnchor="page" w:hAnchor="page" w:x="1491" w:y="1044"/>
        <w:spacing w:after="260"/>
      </w:pPr>
      <w:r w:rsidRPr="009301DF">
        <w:rPr>
          <w:b/>
        </w:rPr>
        <w:t>Wyniki</w:t>
      </w:r>
    </w:p>
    <w:p w14:paraId="2327D767" w14:textId="2322C8FE" w:rsidR="00632C48" w:rsidRPr="009301DF" w:rsidRDefault="005F6F63" w:rsidP="007C1C8A">
      <w:pPr>
        <w:pStyle w:val="Teksttreci0"/>
        <w:framePr w:w="9480" w:h="5768" w:hRule="exact" w:wrap="none" w:vAnchor="page" w:hAnchor="page" w:x="1491" w:y="1044"/>
        <w:numPr>
          <w:ilvl w:val="0"/>
          <w:numId w:val="6"/>
        </w:numPr>
        <w:spacing w:after="0"/>
      </w:pPr>
      <w:r w:rsidRPr="009301DF">
        <w:t>Ta sekcja opisuje eksperymenty i dokumentuje ich wyniki.</w:t>
      </w:r>
    </w:p>
    <w:p w14:paraId="4A7F5246" w14:textId="08858288" w:rsidR="00632C48" w:rsidRPr="009301DF" w:rsidRDefault="005F6F63" w:rsidP="007C1C8A">
      <w:pPr>
        <w:pStyle w:val="Teksttreci0"/>
        <w:framePr w:w="9480" w:h="5768" w:hRule="exact" w:wrap="none" w:vAnchor="page" w:hAnchor="page" w:x="1491" w:y="1044"/>
        <w:numPr>
          <w:ilvl w:val="0"/>
          <w:numId w:val="6"/>
        </w:numPr>
        <w:spacing w:after="0"/>
      </w:pPr>
      <w:r w:rsidRPr="009301DF">
        <w:t>Zasadniczo logika tej sekcji wynika bezpośrednio z logiki wprowadzenia.</w:t>
      </w:r>
    </w:p>
    <w:p w14:paraId="118428B1" w14:textId="04ED4F1C" w:rsidR="00632C48" w:rsidRPr="009301DF" w:rsidRDefault="005F6F63" w:rsidP="007C1C8A">
      <w:pPr>
        <w:pStyle w:val="Teksttreci0"/>
        <w:framePr w:w="9480" w:h="5768" w:hRule="exact" w:wrap="none" w:vAnchor="page" w:hAnchor="page" w:x="1491" w:y="1044"/>
        <w:numPr>
          <w:ilvl w:val="0"/>
          <w:numId w:val="6"/>
        </w:numPr>
        <w:spacing w:after="260"/>
      </w:pPr>
      <w:r w:rsidRPr="009301DF">
        <w:t>Zwykle zawiera większość danych w formie tabel i wykresów.</w:t>
      </w:r>
    </w:p>
    <w:p w14:paraId="1619B8F0" w14:textId="77777777" w:rsidR="00632C48" w:rsidRPr="009301DF" w:rsidRDefault="005F6F63" w:rsidP="007C1C8A">
      <w:pPr>
        <w:pStyle w:val="Teksttreci0"/>
        <w:framePr w:w="9480" w:h="5768" w:hRule="exact" w:wrap="none" w:vAnchor="page" w:hAnchor="page" w:x="1491" w:y="1044"/>
        <w:spacing w:after="260"/>
      </w:pPr>
      <w:r w:rsidRPr="009301DF">
        <w:rPr>
          <w:b/>
        </w:rPr>
        <w:t>Dyskusja</w:t>
      </w:r>
    </w:p>
    <w:p w14:paraId="73D89039" w14:textId="77777777" w:rsidR="00632C48" w:rsidRPr="009301DF" w:rsidRDefault="005F6F63" w:rsidP="007C1C8A">
      <w:pPr>
        <w:pStyle w:val="Teksttreci0"/>
        <w:framePr w:w="9480" w:h="5768" w:hRule="exact" w:wrap="none" w:vAnchor="page" w:hAnchor="page" w:x="1491" w:y="1044"/>
        <w:spacing w:after="260"/>
      </w:pPr>
      <w:r w:rsidRPr="009301DF">
        <w:t>W niektórych czasopismach sekcja wyników i dyskusji może być połączona. Gdy sekcja dyskusji jest samodzielną sekcją, zwykle służy ona kilku celom:</w:t>
      </w:r>
    </w:p>
    <w:p w14:paraId="5621CE05" w14:textId="588C7D35" w:rsidR="00632C48" w:rsidRPr="009301DF" w:rsidRDefault="005F6F63" w:rsidP="007C1C8A">
      <w:pPr>
        <w:pStyle w:val="Teksttreci0"/>
        <w:framePr w:w="9480" w:h="5768" w:hRule="exact" w:wrap="none" w:vAnchor="page" w:hAnchor="page" w:x="1491" w:y="1044"/>
        <w:numPr>
          <w:ilvl w:val="0"/>
          <w:numId w:val="6"/>
        </w:numPr>
        <w:spacing w:after="0"/>
      </w:pPr>
      <w:r w:rsidRPr="009301DF">
        <w:t>Analizie i interpretacji danych z sekcji wyników.</w:t>
      </w:r>
    </w:p>
    <w:p w14:paraId="69E984A2" w14:textId="20AC3764" w:rsidR="00632C48" w:rsidRPr="009301DF" w:rsidRDefault="005F6F63" w:rsidP="007C1C8A">
      <w:pPr>
        <w:pStyle w:val="Teksttreci0"/>
        <w:framePr w:w="9480" w:h="5768" w:hRule="exact" w:wrap="none" w:vAnchor="page" w:hAnchor="page" w:x="1491" w:y="1044"/>
        <w:numPr>
          <w:ilvl w:val="0"/>
          <w:numId w:val="6"/>
        </w:numPr>
        <w:spacing w:after="0"/>
      </w:pPr>
      <w:r w:rsidRPr="009301DF">
        <w:t>Wyjaśnieniu, w jaki sposób ustalenia odnoszą się do innych wyników w danej dziedzinie badań.</w:t>
      </w:r>
    </w:p>
    <w:p w14:paraId="3E922D7E" w14:textId="09D5C8B4" w:rsidR="00632C48" w:rsidRPr="009301DF" w:rsidRDefault="005F6F63" w:rsidP="007C1C8A">
      <w:pPr>
        <w:pStyle w:val="Teksttreci0"/>
        <w:framePr w:w="9480" w:h="5768" w:hRule="exact" w:wrap="none" w:vAnchor="page" w:hAnchor="page" w:x="1491" w:y="1044"/>
        <w:numPr>
          <w:ilvl w:val="0"/>
          <w:numId w:val="6"/>
        </w:numPr>
        <w:spacing w:after="0"/>
      </w:pPr>
      <w:r w:rsidRPr="009301DF">
        <w:t>Wyjaśnieniu, w jaki sposób wyniki badań przyczyniają się do poszerzenia wiedzy lub korygują błędy poprzednich prac.</w:t>
      </w:r>
    </w:p>
    <w:p w14:paraId="08E8112B" w14:textId="69815EE8" w:rsidR="00632C48" w:rsidRPr="009301DF" w:rsidRDefault="005F6F63" w:rsidP="007C1C8A">
      <w:pPr>
        <w:pStyle w:val="Teksttreci0"/>
        <w:framePr w:w="9480" w:h="5768" w:hRule="exact" w:wrap="none" w:vAnchor="page" w:hAnchor="page" w:x="1491" w:y="1044"/>
        <w:numPr>
          <w:ilvl w:val="0"/>
          <w:numId w:val="6"/>
        </w:numPr>
        <w:spacing w:after="0"/>
      </w:pPr>
      <w:r w:rsidRPr="009301DF">
        <w:t>Czasami zawiera wskazówki dotyczące odpowiednich zastosowań badań.</w:t>
      </w:r>
    </w:p>
    <w:p w14:paraId="49E762A8" w14:textId="77777777" w:rsidR="00632C48" w:rsidRPr="009301DF" w:rsidRDefault="005F6F63" w:rsidP="00220AA2">
      <w:pPr>
        <w:pStyle w:val="Podpisobrazu0"/>
        <w:framePr w:w="10046" w:h="2304" w:hRule="exact" w:wrap="none" w:vAnchor="page" w:hAnchor="page" w:x="1291" w:y="7096"/>
        <w:spacing w:after="260"/>
      </w:pPr>
      <w:r w:rsidRPr="009301DF">
        <w:rPr>
          <w:b/>
          <w:bCs/>
        </w:rPr>
        <w:t xml:space="preserve">Pytania, które należy zadać podczas czytania sekcji </w:t>
      </w:r>
      <w:r w:rsidRPr="009301DF">
        <w:rPr>
          <w:b/>
          <w:bCs/>
          <w:i/>
          <w:iCs/>
        </w:rPr>
        <w:t>Dyskusja</w:t>
      </w:r>
      <w:r w:rsidRPr="009301DF">
        <w:rPr>
          <w:b/>
          <w:bCs/>
        </w:rPr>
        <w:t>:</w:t>
      </w:r>
    </w:p>
    <w:p w14:paraId="4CC09E2C" w14:textId="7B822B04" w:rsidR="00632C48" w:rsidRPr="009301DF" w:rsidRDefault="005F6F63" w:rsidP="00220AA2">
      <w:pPr>
        <w:pStyle w:val="Podpisobrazu0"/>
        <w:framePr w:w="10046" w:h="2304" w:hRule="exact" w:wrap="none" w:vAnchor="page" w:hAnchor="page" w:x="1291" w:y="7096"/>
        <w:numPr>
          <w:ilvl w:val="0"/>
          <w:numId w:val="6"/>
        </w:numPr>
        <w:spacing w:after="0"/>
      </w:pPr>
      <w:r w:rsidRPr="009301DF">
        <w:t>Czy autorzy przedstawili jakiekolwiek wytyczne dotyczące ograniczeń badania lub przestrogi przed stosowaniem wyników wykraczających poza zakres badania?</w:t>
      </w:r>
    </w:p>
    <w:p w14:paraId="1480E158" w14:textId="1F03E9E9" w:rsidR="00632C48" w:rsidRPr="009301DF" w:rsidRDefault="005F6F63" w:rsidP="00220AA2">
      <w:pPr>
        <w:pStyle w:val="Podpisobrazu0"/>
        <w:framePr w:w="10046" w:h="2304" w:hRule="exact" w:wrap="none" w:vAnchor="page" w:hAnchor="page" w:x="1291" w:y="7096"/>
        <w:numPr>
          <w:ilvl w:val="1"/>
          <w:numId w:val="28"/>
        </w:numPr>
        <w:spacing w:after="0" w:line="230" w:lineRule="auto"/>
        <w:ind w:left="1276"/>
      </w:pPr>
      <w:r w:rsidRPr="009301DF">
        <w:t>Czy były jakieś parametry kontrolowane w laboratorium, które różnią się w zakładzie, i o których powinieneś wiedzieć?</w:t>
      </w:r>
    </w:p>
    <w:p w14:paraId="2F519AE7" w14:textId="743157A6" w:rsidR="00632C48" w:rsidRPr="009301DF" w:rsidRDefault="005F6F63" w:rsidP="00220AA2">
      <w:pPr>
        <w:pStyle w:val="Podpisobrazu0"/>
        <w:framePr w:w="10046" w:h="2304" w:hRule="exact" w:wrap="none" w:vAnchor="page" w:hAnchor="page" w:x="1291" w:y="7096"/>
        <w:numPr>
          <w:ilvl w:val="1"/>
          <w:numId w:val="28"/>
        </w:numPr>
        <w:spacing w:after="0" w:line="221" w:lineRule="auto"/>
        <w:ind w:left="1276"/>
      </w:pPr>
      <w:r w:rsidRPr="009301DF">
        <w:t>Jeśli tak, zastanawiałeś się, czy mają one zastosowanie do Twojego procesu?</w:t>
      </w:r>
    </w:p>
    <w:p w14:paraId="68B050A7" w14:textId="77777777" w:rsidR="00632C48" w:rsidRPr="009301DF" w:rsidRDefault="005F6F63" w:rsidP="007C1C8A">
      <w:pPr>
        <w:pStyle w:val="Teksttreci0"/>
        <w:framePr w:w="8131" w:h="4463" w:hRule="exact" w:wrap="none" w:vAnchor="page" w:hAnchor="page" w:x="1491" w:y="10027"/>
        <w:spacing w:after="260"/>
      </w:pPr>
      <w:r w:rsidRPr="009301DF">
        <w:rPr>
          <w:b/>
        </w:rPr>
        <w:t>Podsumowanie</w:t>
      </w:r>
    </w:p>
    <w:p w14:paraId="4F131479" w14:textId="6D8022DA" w:rsidR="00632C48" w:rsidRPr="009301DF" w:rsidRDefault="005F6F63" w:rsidP="007C1C8A">
      <w:pPr>
        <w:pStyle w:val="Teksttreci0"/>
        <w:framePr w:w="8131" w:h="4463" w:hRule="exact" w:wrap="none" w:vAnchor="page" w:hAnchor="page" w:x="1491" w:y="10027"/>
        <w:numPr>
          <w:ilvl w:val="0"/>
          <w:numId w:val="6"/>
        </w:numPr>
        <w:spacing w:after="0"/>
      </w:pPr>
      <w:r w:rsidRPr="009301DF">
        <w:t>Ta sekcja podsumowuje kluczowe ustalenia.</w:t>
      </w:r>
    </w:p>
    <w:p w14:paraId="2A053ED3" w14:textId="67C608B1" w:rsidR="00632C48" w:rsidRPr="009301DF" w:rsidRDefault="005F6F63" w:rsidP="007C1C8A">
      <w:pPr>
        <w:pStyle w:val="Teksttreci0"/>
        <w:framePr w:w="8131" w:h="4463" w:hRule="exact" w:wrap="none" w:vAnchor="page" w:hAnchor="page" w:x="1491" w:y="10027"/>
        <w:numPr>
          <w:ilvl w:val="0"/>
          <w:numId w:val="6"/>
        </w:numPr>
        <w:spacing w:after="0"/>
      </w:pPr>
      <w:r w:rsidRPr="009301DF">
        <w:t>Często zawiera implikacje badań dla szerszej dziedziny.</w:t>
      </w:r>
    </w:p>
    <w:p w14:paraId="2647E877" w14:textId="3348661D" w:rsidR="00632C48" w:rsidRPr="009301DF" w:rsidRDefault="005F6F63" w:rsidP="007C1C8A">
      <w:pPr>
        <w:pStyle w:val="Teksttreci0"/>
        <w:framePr w:w="8131" w:h="4463" w:hRule="exact" w:wrap="none" w:vAnchor="page" w:hAnchor="page" w:x="1491" w:y="10027"/>
        <w:numPr>
          <w:ilvl w:val="0"/>
          <w:numId w:val="6"/>
        </w:numPr>
        <w:spacing w:after="260"/>
      </w:pPr>
      <w:r w:rsidRPr="009301DF">
        <w:t>Może podkreślać ograniczenia badania.</w:t>
      </w:r>
    </w:p>
    <w:p w14:paraId="2FADDF78" w14:textId="77777777" w:rsidR="00632C48" w:rsidRPr="009301DF" w:rsidRDefault="005F6F63" w:rsidP="007C1C8A">
      <w:pPr>
        <w:pStyle w:val="Teksttreci0"/>
        <w:framePr w:w="8131" w:h="4463" w:hRule="exact" w:wrap="none" w:vAnchor="page" w:hAnchor="page" w:x="1491" w:y="10027"/>
        <w:spacing w:after="260"/>
      </w:pPr>
      <w:r w:rsidRPr="009301DF">
        <w:rPr>
          <w:b/>
        </w:rPr>
        <w:t>Rysunki i tabele</w:t>
      </w:r>
    </w:p>
    <w:p w14:paraId="3C62C7F3" w14:textId="59BFC039" w:rsidR="00632C48" w:rsidRPr="009301DF" w:rsidRDefault="005F6F63" w:rsidP="007C1C8A">
      <w:pPr>
        <w:pStyle w:val="Teksttreci0"/>
        <w:framePr w:w="8131" w:h="4463" w:hRule="exact" w:wrap="none" w:vAnchor="page" w:hAnchor="page" w:x="1491" w:y="10027"/>
        <w:numPr>
          <w:ilvl w:val="0"/>
          <w:numId w:val="6"/>
        </w:numPr>
        <w:spacing w:after="0"/>
      </w:pPr>
      <w:r w:rsidRPr="009301DF">
        <w:t>Zawierają dane opisane w artykule.</w:t>
      </w:r>
    </w:p>
    <w:p w14:paraId="349D8873" w14:textId="2C3E3E8C" w:rsidR="00632C48" w:rsidRPr="009301DF" w:rsidRDefault="005F6F63" w:rsidP="007C1C8A">
      <w:pPr>
        <w:pStyle w:val="Teksttreci0"/>
        <w:framePr w:w="8131" w:h="4463" w:hRule="exact" w:wrap="none" w:vAnchor="page" w:hAnchor="page" w:x="1491" w:y="10027"/>
        <w:numPr>
          <w:ilvl w:val="0"/>
          <w:numId w:val="6"/>
        </w:numPr>
        <w:spacing w:after="0"/>
      </w:pPr>
      <w:r w:rsidRPr="009301DF">
        <w:t>Podają szczegóły konkretnego przeprowadzonego eksperymentu lub eksperymentów.</w:t>
      </w:r>
    </w:p>
    <w:p w14:paraId="1A886F15" w14:textId="6AF253A7" w:rsidR="00632C48" w:rsidRPr="009301DF" w:rsidRDefault="005F6F63" w:rsidP="007C1C8A">
      <w:pPr>
        <w:pStyle w:val="Teksttreci0"/>
        <w:framePr w:w="8131" w:h="4463" w:hRule="exact" w:wrap="none" w:vAnchor="page" w:hAnchor="page" w:x="1491" w:y="10027"/>
        <w:numPr>
          <w:ilvl w:val="0"/>
          <w:numId w:val="6"/>
        </w:numPr>
        <w:spacing w:after="0"/>
      </w:pPr>
      <w:r w:rsidRPr="009301DF">
        <w:t>Jedna z najważniejszych sekcji artykułu.</w:t>
      </w:r>
    </w:p>
    <w:p w14:paraId="7F1A4128" w14:textId="77777777" w:rsidR="00632C48" w:rsidRPr="009301DF" w:rsidRDefault="005F6F63">
      <w:pPr>
        <w:spacing w:line="1" w:lineRule="exact"/>
        <w:sectPr w:rsidR="00632C48" w:rsidRPr="009301DF">
          <w:pgSz w:w="12485" w:h="16357"/>
          <w:pgMar w:top="360" w:right="360" w:bottom="360" w:left="360" w:header="0" w:footer="3" w:gutter="0"/>
          <w:cols w:space="720"/>
          <w:noEndnote/>
          <w:docGrid w:linePitch="360"/>
        </w:sectPr>
      </w:pPr>
      <w:r w:rsidRPr="009301DF">
        <w:rPr>
          <w:noProof/>
        </w:rPr>
        <w:drawing>
          <wp:anchor distT="0" distB="0" distL="0" distR="0" simplePos="0" relativeHeight="62914708" behindDoc="1" locked="0" layoutInCell="1" allowOverlap="1" wp14:anchorId="2A01D61D" wp14:editId="237FEE6E">
            <wp:simplePos x="0" y="0"/>
            <wp:positionH relativeFrom="page">
              <wp:posOffset>577850</wp:posOffset>
            </wp:positionH>
            <wp:positionV relativeFrom="page">
              <wp:posOffset>4318635</wp:posOffset>
            </wp:positionV>
            <wp:extent cx="6882130" cy="1810385"/>
            <wp:effectExtent l="0" t="0" r="0" b="0"/>
            <wp:wrapNone/>
            <wp:docPr id="37" name="Shape 37"/>
            <wp:cNvGraphicFramePr/>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75"/>
                    <a:stretch/>
                  </pic:blipFill>
                  <pic:spPr>
                    <a:xfrm>
                      <a:off x="0" y="0"/>
                      <a:ext cx="6882130" cy="1810385"/>
                    </a:xfrm>
                    <a:prstGeom prst="rect">
                      <a:avLst/>
                    </a:prstGeom>
                  </pic:spPr>
                </pic:pic>
              </a:graphicData>
            </a:graphic>
          </wp:anchor>
        </w:drawing>
      </w:r>
    </w:p>
    <w:p w14:paraId="2D429524" w14:textId="77777777" w:rsidR="00632C48" w:rsidRPr="009301DF" w:rsidRDefault="00632C48">
      <w:pPr>
        <w:spacing w:line="1" w:lineRule="exact"/>
      </w:pPr>
    </w:p>
    <w:p w14:paraId="6E60586C" w14:textId="77777777" w:rsidR="00632C48" w:rsidRPr="009301DF" w:rsidRDefault="005F6F63" w:rsidP="007C1C8A">
      <w:pPr>
        <w:pStyle w:val="Teksttreci0"/>
        <w:framePr w:w="13032" w:h="4070" w:hRule="exact" w:wrap="none" w:vAnchor="page" w:hAnchor="page" w:x="1359" w:y="683"/>
        <w:spacing w:after="640"/>
      </w:pPr>
      <w:r w:rsidRPr="009301DF">
        <w:t>Wyłącznie do celów ilustracyjnych</w:t>
      </w:r>
    </w:p>
    <w:p w14:paraId="012D18FB" w14:textId="77777777" w:rsidR="00632C48" w:rsidRPr="009301DF" w:rsidRDefault="005F6F63" w:rsidP="007C1C8A">
      <w:pPr>
        <w:pStyle w:val="Nagwek10"/>
        <w:framePr w:w="13032" w:h="4070" w:hRule="exact" w:wrap="none" w:vAnchor="page" w:hAnchor="page" w:x="1359" w:y="683"/>
      </w:pPr>
      <w:bookmarkStart w:id="22" w:name="bookmark41"/>
      <w:r w:rsidRPr="009301DF">
        <w:t>Załącznik nr 4: Przykłady arkuszy do walidacji</w:t>
      </w:r>
      <w:bookmarkEnd w:id="22"/>
    </w:p>
    <w:p w14:paraId="3A23FE78" w14:textId="77777777" w:rsidR="00632C48" w:rsidRPr="009301DF" w:rsidRDefault="005F6F63" w:rsidP="007C1C8A">
      <w:pPr>
        <w:pStyle w:val="Teksttreci0"/>
        <w:framePr w:w="13032" w:h="4070" w:hRule="exact" w:wrap="none" w:vAnchor="page" w:hAnchor="page" w:x="1359" w:y="683"/>
        <w:spacing w:after="0"/>
      </w:pPr>
      <w:r w:rsidRPr="009301DF">
        <w:t>Poniższe strony zawierają przykłady arkuszy walidacyjnych, które mogą być wykorzystane, aby pomóc zakładowi zrozumieć rodzaje wsparcia naukowego i dokumentacji w zakładzie, które są potrzebne do spełnienia wymogów walidacji. Należy pamiętać, że są to tylko przykłady. Każdy zakład będzie musiał zidentyfikować wsparcie naukowe, które ściśle odpowiada jego procesowi oraz wskazać i wdrożyć krytyczne parametry operacyjne tego wsparcia. W zależności od wybranego wsparcia można zidentyfikować różne krytyczne parametry operacyjne. Ponadto wymienienie znaków towarowych lub nazw handlowych nie stanowi potwierdzenia przez Departament Rolnictwa Stanów Zjednoczonych (</w:t>
      </w:r>
      <w:r w:rsidRPr="009301DF">
        <w:rPr>
          <w:i/>
          <w:iCs/>
        </w:rPr>
        <w:t>U.S. Department of Agriculture - USDA</w:t>
      </w:r>
      <w:r w:rsidRPr="009301DF">
        <w:t>).</w:t>
      </w:r>
    </w:p>
    <w:p w14:paraId="11E61EA9"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4432E8E6" w14:textId="77777777" w:rsidR="00632C48" w:rsidRPr="009301DF" w:rsidRDefault="00632C48">
      <w:pPr>
        <w:spacing w:line="1" w:lineRule="exact"/>
      </w:pPr>
    </w:p>
    <w:p w14:paraId="701D9F89" w14:textId="77777777" w:rsidR="00632C48" w:rsidRPr="009301DF" w:rsidRDefault="005F6F63">
      <w:pPr>
        <w:pStyle w:val="Podpistabeli0"/>
        <w:framePr w:wrap="none" w:vAnchor="page" w:hAnchor="page" w:x="810" w:y="683"/>
      </w:pPr>
      <w:r w:rsidRPr="009301DF">
        <w:t>Wyłącznie do celów ilustracyjnych</w:t>
      </w:r>
    </w:p>
    <w:tbl>
      <w:tblPr>
        <w:tblOverlap w:val="never"/>
        <w:tblW w:w="5000" w:type="pct"/>
        <w:tblCellMar>
          <w:left w:w="10" w:type="dxa"/>
          <w:right w:w="10" w:type="dxa"/>
        </w:tblCellMar>
        <w:tblLook w:val="04A0" w:firstRow="1" w:lastRow="0" w:firstColumn="1" w:lastColumn="0" w:noHBand="0" w:noVBand="1"/>
      </w:tblPr>
      <w:tblGrid>
        <w:gridCol w:w="1296"/>
        <w:gridCol w:w="1543"/>
        <w:gridCol w:w="1461"/>
        <w:gridCol w:w="2183"/>
        <w:gridCol w:w="3575"/>
        <w:gridCol w:w="2095"/>
      </w:tblGrid>
      <w:tr w:rsidR="00632C48" w:rsidRPr="009301DF" w14:paraId="54389EF9" w14:textId="77777777" w:rsidTr="00011670">
        <w:trPr>
          <w:trHeight w:hRule="exact" w:val="699"/>
        </w:trPr>
        <w:tc>
          <w:tcPr>
            <w:tcW w:w="533" w:type="pct"/>
            <w:vMerge w:val="restart"/>
            <w:tcBorders>
              <w:top w:val="single" w:sz="4" w:space="0" w:color="auto"/>
              <w:left w:val="single" w:sz="4" w:space="0" w:color="auto"/>
            </w:tcBorders>
            <w:shd w:val="clear" w:color="auto" w:fill="auto"/>
          </w:tcPr>
          <w:p w14:paraId="3B7E3EC2"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Produkt</w:t>
            </w:r>
          </w:p>
        </w:tc>
        <w:tc>
          <w:tcPr>
            <w:tcW w:w="635" w:type="pct"/>
            <w:vMerge w:val="restart"/>
            <w:tcBorders>
              <w:top w:val="single" w:sz="4" w:space="0" w:color="auto"/>
              <w:left w:val="single" w:sz="4" w:space="0" w:color="auto"/>
            </w:tcBorders>
            <w:shd w:val="clear" w:color="auto" w:fill="auto"/>
          </w:tcPr>
          <w:p w14:paraId="753A7935"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Zagrożenie:</w:t>
            </w:r>
          </w:p>
        </w:tc>
        <w:tc>
          <w:tcPr>
            <w:tcW w:w="601" w:type="pct"/>
            <w:vMerge w:val="restart"/>
            <w:tcBorders>
              <w:top w:val="single" w:sz="4" w:space="0" w:color="auto"/>
              <w:left w:val="single" w:sz="4" w:space="0" w:color="auto"/>
            </w:tcBorders>
            <w:shd w:val="clear" w:color="auto" w:fill="auto"/>
          </w:tcPr>
          <w:p w14:paraId="5F48D333"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Proces</w:t>
            </w:r>
          </w:p>
        </w:tc>
        <w:tc>
          <w:tcPr>
            <w:tcW w:w="898" w:type="pct"/>
            <w:vMerge w:val="restart"/>
            <w:tcBorders>
              <w:top w:val="single" w:sz="4" w:space="0" w:color="auto"/>
              <w:left w:val="single" w:sz="4" w:space="0" w:color="auto"/>
            </w:tcBorders>
            <w:shd w:val="clear" w:color="auto" w:fill="auto"/>
          </w:tcPr>
          <w:p w14:paraId="2204738F" w14:textId="79EAA1DD" w:rsidR="00632C48" w:rsidRPr="009301DF" w:rsidRDefault="005F6F63" w:rsidP="005F6F63">
            <w:pPr>
              <w:pStyle w:val="Inne0"/>
              <w:framePr w:w="12163" w:h="5040" w:wrap="none" w:vAnchor="page" w:hAnchor="page" w:x="757" w:y="1441"/>
              <w:spacing w:after="0"/>
              <w:rPr>
                <w:sz w:val="22"/>
                <w:szCs w:val="22"/>
              </w:rPr>
            </w:pPr>
            <w:r w:rsidRPr="009301DF">
              <w:rPr>
                <w:sz w:val="22"/>
              </w:rPr>
              <w:t>Krytyczne parametry operacyjne</w:t>
            </w:r>
            <w:hyperlink w:anchor="bookmark43" w:tooltip="Current Document">
              <w:r w:rsidRPr="009301DF">
                <w:rPr>
                  <w:sz w:val="22"/>
                  <w:vertAlign w:val="superscript"/>
                </w:rPr>
                <w:t>2</w:t>
              </w:r>
            </w:hyperlink>
          </w:p>
        </w:tc>
        <w:tc>
          <w:tcPr>
            <w:tcW w:w="2333" w:type="pct"/>
            <w:gridSpan w:val="2"/>
            <w:tcBorders>
              <w:top w:val="single" w:sz="4" w:space="0" w:color="auto"/>
              <w:left w:val="single" w:sz="4" w:space="0" w:color="auto"/>
              <w:right w:val="single" w:sz="4" w:space="0" w:color="auto"/>
            </w:tcBorders>
            <w:shd w:val="clear" w:color="auto" w:fill="auto"/>
          </w:tcPr>
          <w:p w14:paraId="1FD1F1DE"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Potwierdzenie</w:t>
            </w:r>
          </w:p>
        </w:tc>
      </w:tr>
      <w:tr w:rsidR="00632C48" w:rsidRPr="009301DF" w14:paraId="0BC80381" w14:textId="77777777" w:rsidTr="00011670">
        <w:trPr>
          <w:trHeight w:hRule="exact" w:val="970"/>
        </w:trPr>
        <w:tc>
          <w:tcPr>
            <w:tcW w:w="533" w:type="pct"/>
            <w:vMerge/>
            <w:tcBorders>
              <w:left w:val="single" w:sz="4" w:space="0" w:color="auto"/>
            </w:tcBorders>
            <w:shd w:val="clear" w:color="auto" w:fill="auto"/>
          </w:tcPr>
          <w:p w14:paraId="1B37A1AF" w14:textId="77777777" w:rsidR="00632C48" w:rsidRPr="009301DF" w:rsidRDefault="00632C48" w:rsidP="005F6F63">
            <w:pPr>
              <w:framePr w:w="12163" w:h="5040" w:wrap="none" w:vAnchor="page" w:hAnchor="page" w:x="757" w:y="1441"/>
            </w:pPr>
          </w:p>
        </w:tc>
        <w:tc>
          <w:tcPr>
            <w:tcW w:w="635" w:type="pct"/>
            <w:vMerge/>
            <w:tcBorders>
              <w:left w:val="single" w:sz="4" w:space="0" w:color="auto"/>
            </w:tcBorders>
            <w:shd w:val="clear" w:color="auto" w:fill="auto"/>
          </w:tcPr>
          <w:p w14:paraId="40426747" w14:textId="77777777" w:rsidR="00632C48" w:rsidRPr="009301DF" w:rsidRDefault="00632C48" w:rsidP="005F6F63">
            <w:pPr>
              <w:framePr w:w="12163" w:h="5040" w:wrap="none" w:vAnchor="page" w:hAnchor="page" w:x="757" w:y="1441"/>
            </w:pPr>
          </w:p>
        </w:tc>
        <w:tc>
          <w:tcPr>
            <w:tcW w:w="601" w:type="pct"/>
            <w:vMerge/>
            <w:tcBorders>
              <w:left w:val="single" w:sz="4" w:space="0" w:color="auto"/>
            </w:tcBorders>
            <w:shd w:val="clear" w:color="auto" w:fill="auto"/>
          </w:tcPr>
          <w:p w14:paraId="4E80EB2E" w14:textId="77777777" w:rsidR="00632C48" w:rsidRPr="009301DF" w:rsidRDefault="00632C48" w:rsidP="005F6F63">
            <w:pPr>
              <w:framePr w:w="12163" w:h="5040" w:wrap="none" w:vAnchor="page" w:hAnchor="page" w:x="757" w:y="1441"/>
            </w:pPr>
          </w:p>
        </w:tc>
        <w:tc>
          <w:tcPr>
            <w:tcW w:w="898" w:type="pct"/>
            <w:vMerge/>
            <w:tcBorders>
              <w:left w:val="single" w:sz="4" w:space="0" w:color="auto"/>
            </w:tcBorders>
            <w:shd w:val="clear" w:color="auto" w:fill="auto"/>
          </w:tcPr>
          <w:p w14:paraId="42CB1C20" w14:textId="77777777" w:rsidR="00632C48" w:rsidRPr="009301DF" w:rsidRDefault="00632C48" w:rsidP="005F6F63">
            <w:pPr>
              <w:framePr w:w="12163" w:h="5040" w:wrap="none" w:vAnchor="page" w:hAnchor="page" w:x="757" w:y="1441"/>
            </w:pPr>
          </w:p>
        </w:tc>
        <w:tc>
          <w:tcPr>
            <w:tcW w:w="1471" w:type="pct"/>
            <w:tcBorders>
              <w:top w:val="single" w:sz="4" w:space="0" w:color="auto"/>
              <w:left w:val="single" w:sz="4" w:space="0" w:color="auto"/>
            </w:tcBorders>
            <w:shd w:val="clear" w:color="auto" w:fill="auto"/>
          </w:tcPr>
          <w:p w14:paraId="0502DE5B" w14:textId="77777777" w:rsidR="00632C48" w:rsidRPr="009301DF" w:rsidRDefault="005F6F63" w:rsidP="005F6F63">
            <w:pPr>
              <w:pStyle w:val="Inne0"/>
              <w:framePr w:w="12163" w:h="5040" w:wrap="none" w:vAnchor="page" w:hAnchor="page" w:x="757" w:y="1441"/>
              <w:spacing w:after="0"/>
              <w:rPr>
                <w:sz w:val="22"/>
                <w:szCs w:val="22"/>
              </w:rPr>
            </w:pPr>
            <w:bookmarkStart w:id="23" w:name="bookmark43"/>
            <w:r w:rsidRPr="009301DF">
              <w:rPr>
                <w:sz w:val="22"/>
              </w:rPr>
              <w:t>Wsparcie naukowe lub techniczne</w:t>
            </w:r>
            <w:bookmarkEnd w:id="23"/>
          </w:p>
        </w:tc>
        <w:tc>
          <w:tcPr>
            <w:tcW w:w="863" w:type="pct"/>
            <w:tcBorders>
              <w:top w:val="single" w:sz="4" w:space="0" w:color="auto"/>
              <w:left w:val="single" w:sz="4" w:space="0" w:color="auto"/>
              <w:right w:val="single" w:sz="4" w:space="0" w:color="auto"/>
            </w:tcBorders>
            <w:shd w:val="clear" w:color="auto" w:fill="auto"/>
          </w:tcPr>
          <w:p w14:paraId="5A18FDA8"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Wewnątrzzakładowe dane walidacyjne</w:t>
            </w:r>
          </w:p>
        </w:tc>
      </w:tr>
      <w:tr w:rsidR="00632C48" w:rsidRPr="009301DF" w14:paraId="27473E99" w14:textId="77777777" w:rsidTr="00011670">
        <w:trPr>
          <w:trHeight w:hRule="exact" w:val="6982"/>
        </w:trPr>
        <w:tc>
          <w:tcPr>
            <w:tcW w:w="533" w:type="pct"/>
            <w:tcBorders>
              <w:top w:val="single" w:sz="4" w:space="0" w:color="auto"/>
              <w:left w:val="single" w:sz="4" w:space="0" w:color="auto"/>
              <w:bottom w:val="single" w:sz="4" w:space="0" w:color="auto"/>
            </w:tcBorders>
            <w:shd w:val="clear" w:color="auto" w:fill="auto"/>
          </w:tcPr>
          <w:p w14:paraId="6058E551" w14:textId="61591F89" w:rsidR="00632C48" w:rsidRPr="009301DF" w:rsidRDefault="005F6F63" w:rsidP="005F6F63">
            <w:pPr>
              <w:pStyle w:val="Inne0"/>
              <w:framePr w:w="12163" w:h="5040" w:wrap="none" w:vAnchor="page" w:hAnchor="page" w:x="757" w:y="1441"/>
              <w:spacing w:after="0"/>
              <w:rPr>
                <w:sz w:val="22"/>
                <w:szCs w:val="22"/>
              </w:rPr>
            </w:pPr>
            <w:r w:rsidRPr="009301DF">
              <w:rPr>
                <w:sz w:val="22"/>
              </w:rPr>
              <w:t>Tusze drobiowe</w:t>
            </w:r>
          </w:p>
        </w:tc>
        <w:tc>
          <w:tcPr>
            <w:tcW w:w="635" w:type="pct"/>
            <w:tcBorders>
              <w:top w:val="single" w:sz="4" w:space="0" w:color="auto"/>
              <w:left w:val="single" w:sz="4" w:space="0" w:color="auto"/>
              <w:bottom w:val="single" w:sz="4" w:space="0" w:color="auto"/>
            </w:tcBorders>
            <w:shd w:val="clear" w:color="auto" w:fill="auto"/>
          </w:tcPr>
          <w:p w14:paraId="4D623814"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 xml:space="preserve">Biologiczne - </w:t>
            </w:r>
            <w:r w:rsidRPr="009301DF">
              <w:rPr>
                <w:i/>
                <w:sz w:val="22"/>
              </w:rPr>
              <w:t>Salmonella</w:t>
            </w:r>
          </w:p>
        </w:tc>
        <w:tc>
          <w:tcPr>
            <w:tcW w:w="601" w:type="pct"/>
            <w:tcBorders>
              <w:top w:val="single" w:sz="4" w:space="0" w:color="auto"/>
              <w:left w:val="single" w:sz="4" w:space="0" w:color="auto"/>
              <w:bottom w:val="single" w:sz="4" w:space="0" w:color="auto"/>
            </w:tcBorders>
            <w:shd w:val="clear" w:color="auto" w:fill="auto"/>
          </w:tcPr>
          <w:p w14:paraId="5AD743F1" w14:textId="4A6C3978" w:rsidR="00632C48" w:rsidRPr="009301DF" w:rsidRDefault="005F6F63" w:rsidP="005F6F63">
            <w:pPr>
              <w:pStyle w:val="Inne0"/>
              <w:framePr w:w="12163" w:h="5040" w:wrap="none" w:vAnchor="page" w:hAnchor="page" w:x="757" w:y="1441"/>
              <w:spacing w:after="0"/>
              <w:rPr>
                <w:sz w:val="22"/>
                <w:szCs w:val="22"/>
              </w:rPr>
            </w:pPr>
            <w:r w:rsidRPr="009301DF">
              <w:rPr>
                <w:sz w:val="22"/>
              </w:rPr>
              <w:t>Chiller końcowy</w:t>
            </w:r>
          </w:p>
        </w:tc>
        <w:tc>
          <w:tcPr>
            <w:tcW w:w="898" w:type="pct"/>
            <w:tcBorders>
              <w:top w:val="single" w:sz="4" w:space="0" w:color="auto"/>
              <w:left w:val="single" w:sz="4" w:space="0" w:color="auto"/>
              <w:bottom w:val="single" w:sz="4" w:space="0" w:color="auto"/>
            </w:tcBorders>
            <w:shd w:val="clear" w:color="auto" w:fill="auto"/>
          </w:tcPr>
          <w:p w14:paraId="0F564D7E" w14:textId="77777777" w:rsidR="00632C48" w:rsidRPr="009301DF" w:rsidRDefault="005F6F63" w:rsidP="005F6F63">
            <w:pPr>
              <w:pStyle w:val="Inne0"/>
              <w:framePr w:w="12163" w:h="5040" w:wrap="none" w:vAnchor="page" w:hAnchor="page" w:x="757" w:y="1441"/>
              <w:spacing w:after="0"/>
              <w:rPr>
                <w:sz w:val="22"/>
                <w:szCs w:val="22"/>
              </w:rPr>
            </w:pPr>
            <w:r w:rsidRPr="009301DF">
              <w:rPr>
                <w:sz w:val="22"/>
              </w:rPr>
              <w:t>Rozcieńczenie mieszaniny 15% kwasu nadoctowego/10% nadtlenku wodoru (PAHP) do końcowego stężenia 85 ppm kwasu nadoctowego w chłodziarce; ekspozycja w chłodziarce przez 20 minut; pH = 4,5; całkowite pokrycie tuszy</w:t>
            </w:r>
          </w:p>
        </w:tc>
        <w:tc>
          <w:tcPr>
            <w:tcW w:w="1471" w:type="pct"/>
            <w:tcBorders>
              <w:top w:val="single" w:sz="4" w:space="0" w:color="auto"/>
              <w:left w:val="single" w:sz="4" w:space="0" w:color="auto"/>
              <w:bottom w:val="single" w:sz="4" w:space="0" w:color="auto"/>
            </w:tcBorders>
            <w:shd w:val="clear" w:color="auto" w:fill="auto"/>
          </w:tcPr>
          <w:p w14:paraId="1B431665" w14:textId="77777777" w:rsidR="005F6F63" w:rsidRPr="009301DF" w:rsidRDefault="005F6F63" w:rsidP="005F6F63">
            <w:pPr>
              <w:pStyle w:val="Inne0"/>
              <w:framePr w:w="12163" w:h="5040" w:wrap="none" w:vAnchor="page" w:hAnchor="page" w:x="757" w:y="1441"/>
              <w:spacing w:after="220"/>
              <w:rPr>
                <w:sz w:val="22"/>
                <w:szCs w:val="22"/>
              </w:rPr>
            </w:pPr>
            <w:r w:rsidRPr="009301DF">
              <w:rPr>
                <w:sz w:val="22"/>
              </w:rPr>
              <w:t>Bauermeister, L.J., J.W.J. Bowers, J.C. Townsend i S.R. McKee. 2008. Walidacja skuteczności mieszaniny kwasu nadoctowego jako środka przeciwdrobnoustrojowego w chłodziarkach dla drobiu (</w:t>
            </w:r>
            <w:r w:rsidRPr="009301DF">
              <w:rPr>
                <w:i/>
                <w:iCs/>
                <w:sz w:val="22"/>
              </w:rPr>
              <w:t>Validating the Efficacy of Peracetic Acid Mixture as an Antimicrobial in Poultry Chillers</w:t>
            </w:r>
            <w:r w:rsidRPr="009301DF">
              <w:rPr>
                <w:sz w:val="22"/>
              </w:rPr>
              <w:t xml:space="preserve">). </w:t>
            </w:r>
            <w:r w:rsidRPr="009301DF">
              <w:rPr>
                <w:i/>
                <w:sz w:val="22"/>
              </w:rPr>
              <w:t>J. Food Prot.</w:t>
            </w:r>
            <w:r w:rsidRPr="009301DF">
              <w:rPr>
                <w:sz w:val="22"/>
              </w:rPr>
              <w:t xml:space="preserve"> 71(6): 11191122.</w:t>
            </w:r>
          </w:p>
          <w:p w14:paraId="34F32132" w14:textId="49715127" w:rsidR="00632C48" w:rsidRPr="009301DF" w:rsidRDefault="005F6F63" w:rsidP="005F6F63">
            <w:pPr>
              <w:pStyle w:val="Inne0"/>
              <w:framePr w:w="12163" w:h="5040" w:wrap="none" w:vAnchor="page" w:hAnchor="page" w:x="757" w:y="1441"/>
              <w:spacing w:after="220"/>
              <w:rPr>
                <w:sz w:val="22"/>
                <w:szCs w:val="22"/>
              </w:rPr>
            </w:pPr>
            <w:r w:rsidRPr="009301DF">
              <w:rPr>
                <w:sz w:val="22"/>
              </w:rPr>
              <w:t xml:space="preserve"> Decyzja środowiskowa Administracji ds. Żywności i Leków dotycząca powiadomienia o kontakcie z żywnością nr 000323: 10 kwietnia 2003 r. Dyrektywa FSIS 7120.1 Bezpieczne i odpowiednie składniki stosowane w produkcji mięsa, drobiu i produktów jajecznych (</w:t>
            </w:r>
            <w:r w:rsidRPr="009301DF">
              <w:rPr>
                <w:i/>
                <w:iCs/>
                <w:sz w:val="22"/>
              </w:rPr>
              <w:t>Food and Drug Administration Environmental Decision Memo for Food Contact Notification No. 000323: April 10, 2003 FSIS Directive 7120.1 Safe and Suitable Ingredients used in the Production of Meat, Poultry, and Egg Products</w:t>
            </w:r>
            <w:r w:rsidRPr="009301DF">
              <w:rPr>
                <w:sz w:val="22"/>
              </w:rPr>
              <w:t>)</w:t>
            </w: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6E4D51C7" w14:textId="77777777" w:rsidR="00632C48" w:rsidRPr="009301DF" w:rsidRDefault="005F6F63" w:rsidP="00220AA2">
            <w:pPr>
              <w:pStyle w:val="Inne0"/>
              <w:framePr w:w="12163" w:h="5040" w:wrap="none" w:vAnchor="page" w:hAnchor="page" w:x="757" w:y="1441"/>
              <w:spacing w:after="0"/>
              <w:ind w:right="140"/>
              <w:rPr>
                <w:sz w:val="22"/>
                <w:szCs w:val="22"/>
              </w:rPr>
            </w:pPr>
            <w:r w:rsidRPr="009301DF">
              <w:rPr>
                <w:sz w:val="22"/>
              </w:rPr>
              <w:t>Zapisy z monitorowania w zakładzie za okres 90 dni zapisane w arkuszu kontrolnym końcowego monitorowania agregatu chłodniczego (w tym stężenie PAHP, oszacowanie czasu ekspozycji, pH i pokrycie tusz); raport z prób wykazujący stałe parametry operacyjne i analizę mikrobiologiczną, jeśli to możliwe, przez 90 dni.</w:t>
            </w:r>
          </w:p>
        </w:tc>
      </w:tr>
    </w:tbl>
    <w:p w14:paraId="73393E6F" w14:textId="77777777" w:rsidR="00632C48" w:rsidRPr="009301DF" w:rsidRDefault="005F6F63">
      <w:pPr>
        <w:pStyle w:val="Teksttreci0"/>
        <w:framePr w:w="13032" w:h="653" w:hRule="exact" w:wrap="none" w:vAnchor="page" w:hAnchor="page" w:x="757" w:y="10191"/>
        <w:spacing w:after="0"/>
      </w:pPr>
      <w:r w:rsidRPr="009301DF">
        <w:rPr>
          <w:vertAlign w:val="superscript"/>
        </w:rPr>
        <w:t>2</w:t>
      </w:r>
      <w:r w:rsidRPr="009301DF">
        <w:t xml:space="preserve"> Odnosi się do limitu krytycznego lub innego parametru wymienionego w dokumentacji naukowej, niezbędnego do skutecznego przeprowadzenia działania interwencyjnego.</w:t>
      </w:r>
    </w:p>
    <w:p w14:paraId="761D13C5"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548C58B0"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048"/>
        <w:gridCol w:w="1264"/>
        <w:gridCol w:w="1366"/>
        <w:gridCol w:w="1816"/>
        <w:gridCol w:w="4074"/>
        <w:gridCol w:w="2595"/>
      </w:tblGrid>
      <w:tr w:rsidR="00632C48" w:rsidRPr="009301DF" w14:paraId="72AA69B8" w14:textId="77777777" w:rsidTr="002F0761">
        <w:trPr>
          <w:trHeight w:hRule="exact" w:val="430"/>
        </w:trPr>
        <w:tc>
          <w:tcPr>
            <w:tcW w:w="5000" w:type="pct"/>
            <w:gridSpan w:val="6"/>
            <w:shd w:val="clear" w:color="auto" w:fill="auto"/>
          </w:tcPr>
          <w:p w14:paraId="273335F9" w14:textId="77777777" w:rsidR="00632C48" w:rsidRPr="009301DF" w:rsidRDefault="005F6F63">
            <w:pPr>
              <w:pStyle w:val="Inne0"/>
              <w:framePr w:w="12163" w:h="6010" w:wrap="none" w:vAnchor="page" w:hAnchor="page" w:x="757" w:y="735"/>
              <w:spacing w:after="0"/>
            </w:pPr>
            <w:r w:rsidRPr="009301DF">
              <w:t>Wyłącznie do celów ilustracyjnych</w:t>
            </w:r>
          </w:p>
        </w:tc>
      </w:tr>
      <w:tr w:rsidR="00632C48" w:rsidRPr="009301DF" w14:paraId="121136AB" w14:textId="77777777" w:rsidTr="00011670">
        <w:trPr>
          <w:trHeight w:hRule="exact" w:val="986"/>
        </w:trPr>
        <w:tc>
          <w:tcPr>
            <w:tcW w:w="459" w:type="pct"/>
            <w:vMerge w:val="restart"/>
            <w:tcBorders>
              <w:top w:val="single" w:sz="4" w:space="0" w:color="auto"/>
              <w:left w:val="single" w:sz="4" w:space="0" w:color="auto"/>
            </w:tcBorders>
            <w:shd w:val="clear" w:color="auto" w:fill="auto"/>
          </w:tcPr>
          <w:p w14:paraId="0EA6B700" w14:textId="77777777" w:rsidR="00632C48" w:rsidRPr="009301DF" w:rsidRDefault="005F6F63" w:rsidP="005F6F63">
            <w:pPr>
              <w:pStyle w:val="Inne0"/>
              <w:framePr w:w="12163" w:h="6010" w:wrap="none" w:vAnchor="page" w:hAnchor="page" w:x="757" w:y="735"/>
              <w:spacing w:after="0"/>
            </w:pPr>
            <w:r w:rsidRPr="009301DF">
              <w:t>Produkt</w:t>
            </w:r>
          </w:p>
        </w:tc>
        <w:tc>
          <w:tcPr>
            <w:tcW w:w="548" w:type="pct"/>
            <w:vMerge w:val="restart"/>
            <w:tcBorders>
              <w:top w:val="single" w:sz="4" w:space="0" w:color="auto"/>
              <w:left w:val="single" w:sz="4" w:space="0" w:color="auto"/>
            </w:tcBorders>
            <w:shd w:val="clear" w:color="auto" w:fill="auto"/>
          </w:tcPr>
          <w:p w14:paraId="2CC737EB"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Zagrożenie:</w:t>
            </w:r>
          </w:p>
        </w:tc>
        <w:tc>
          <w:tcPr>
            <w:tcW w:w="519" w:type="pct"/>
            <w:vMerge w:val="restart"/>
            <w:tcBorders>
              <w:top w:val="single" w:sz="4" w:space="0" w:color="auto"/>
              <w:left w:val="single" w:sz="4" w:space="0" w:color="auto"/>
            </w:tcBorders>
            <w:shd w:val="clear" w:color="auto" w:fill="auto"/>
          </w:tcPr>
          <w:p w14:paraId="71B8FFB2"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Proces</w:t>
            </w:r>
          </w:p>
        </w:tc>
        <w:tc>
          <w:tcPr>
            <w:tcW w:w="775" w:type="pct"/>
            <w:vMerge w:val="restart"/>
            <w:tcBorders>
              <w:top w:val="single" w:sz="4" w:space="0" w:color="auto"/>
              <w:left w:val="single" w:sz="4" w:space="0" w:color="auto"/>
            </w:tcBorders>
            <w:shd w:val="clear" w:color="auto" w:fill="auto"/>
          </w:tcPr>
          <w:p w14:paraId="61363AE2"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Krytyczne parametry operacyjne</w:t>
            </w:r>
          </w:p>
        </w:tc>
        <w:tc>
          <w:tcPr>
            <w:tcW w:w="2698" w:type="pct"/>
            <w:gridSpan w:val="2"/>
            <w:tcBorders>
              <w:top w:val="single" w:sz="4" w:space="0" w:color="auto"/>
              <w:left w:val="single" w:sz="4" w:space="0" w:color="auto"/>
              <w:right w:val="single" w:sz="4" w:space="0" w:color="auto"/>
            </w:tcBorders>
            <w:shd w:val="clear" w:color="auto" w:fill="auto"/>
          </w:tcPr>
          <w:p w14:paraId="787DED9A"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Potwierdzenie</w:t>
            </w:r>
          </w:p>
        </w:tc>
      </w:tr>
      <w:tr w:rsidR="00632C48" w:rsidRPr="009301DF" w14:paraId="7E37E511" w14:textId="77777777" w:rsidTr="00011670">
        <w:trPr>
          <w:trHeight w:hRule="exact" w:val="703"/>
        </w:trPr>
        <w:tc>
          <w:tcPr>
            <w:tcW w:w="459" w:type="pct"/>
            <w:vMerge/>
            <w:tcBorders>
              <w:left w:val="single" w:sz="4" w:space="0" w:color="auto"/>
            </w:tcBorders>
            <w:shd w:val="clear" w:color="auto" w:fill="auto"/>
          </w:tcPr>
          <w:p w14:paraId="396AEC34" w14:textId="77777777" w:rsidR="00632C48" w:rsidRPr="009301DF" w:rsidRDefault="00632C48" w:rsidP="005F6F63">
            <w:pPr>
              <w:framePr w:w="12163" w:h="6010" w:wrap="none" w:vAnchor="page" w:hAnchor="page" w:x="757" w:y="735"/>
            </w:pPr>
          </w:p>
        </w:tc>
        <w:tc>
          <w:tcPr>
            <w:tcW w:w="548" w:type="pct"/>
            <w:vMerge/>
            <w:tcBorders>
              <w:left w:val="single" w:sz="4" w:space="0" w:color="auto"/>
            </w:tcBorders>
            <w:shd w:val="clear" w:color="auto" w:fill="auto"/>
          </w:tcPr>
          <w:p w14:paraId="55F45590" w14:textId="77777777" w:rsidR="00632C48" w:rsidRPr="009301DF" w:rsidRDefault="00632C48" w:rsidP="005F6F63">
            <w:pPr>
              <w:framePr w:w="12163" w:h="6010" w:wrap="none" w:vAnchor="page" w:hAnchor="page" w:x="757" w:y="735"/>
            </w:pPr>
          </w:p>
        </w:tc>
        <w:tc>
          <w:tcPr>
            <w:tcW w:w="519" w:type="pct"/>
            <w:vMerge/>
            <w:tcBorders>
              <w:left w:val="single" w:sz="4" w:space="0" w:color="auto"/>
            </w:tcBorders>
            <w:shd w:val="clear" w:color="auto" w:fill="auto"/>
          </w:tcPr>
          <w:p w14:paraId="19836AE1" w14:textId="77777777" w:rsidR="00632C48" w:rsidRPr="009301DF" w:rsidRDefault="00632C48" w:rsidP="005F6F63">
            <w:pPr>
              <w:framePr w:w="12163" w:h="6010" w:wrap="none" w:vAnchor="page" w:hAnchor="page" w:x="757" w:y="735"/>
            </w:pPr>
          </w:p>
        </w:tc>
        <w:tc>
          <w:tcPr>
            <w:tcW w:w="775" w:type="pct"/>
            <w:vMerge/>
            <w:tcBorders>
              <w:left w:val="single" w:sz="4" w:space="0" w:color="auto"/>
            </w:tcBorders>
            <w:shd w:val="clear" w:color="auto" w:fill="auto"/>
          </w:tcPr>
          <w:p w14:paraId="61A7ECFD" w14:textId="77777777" w:rsidR="00632C48" w:rsidRPr="009301DF" w:rsidRDefault="00632C48" w:rsidP="005F6F63">
            <w:pPr>
              <w:framePr w:w="12163" w:h="6010" w:wrap="none" w:vAnchor="page" w:hAnchor="page" w:x="757" w:y="735"/>
            </w:pPr>
          </w:p>
        </w:tc>
        <w:tc>
          <w:tcPr>
            <w:tcW w:w="1703" w:type="pct"/>
            <w:tcBorders>
              <w:top w:val="single" w:sz="4" w:space="0" w:color="auto"/>
              <w:left w:val="single" w:sz="4" w:space="0" w:color="auto"/>
            </w:tcBorders>
            <w:shd w:val="clear" w:color="auto" w:fill="auto"/>
          </w:tcPr>
          <w:p w14:paraId="023B890B"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Wsparcie naukowe lub techniczne</w:t>
            </w:r>
          </w:p>
        </w:tc>
        <w:tc>
          <w:tcPr>
            <w:tcW w:w="995" w:type="pct"/>
            <w:tcBorders>
              <w:top w:val="single" w:sz="4" w:space="0" w:color="auto"/>
              <w:left w:val="single" w:sz="4" w:space="0" w:color="auto"/>
              <w:right w:val="single" w:sz="4" w:space="0" w:color="auto"/>
            </w:tcBorders>
            <w:shd w:val="clear" w:color="auto" w:fill="auto"/>
          </w:tcPr>
          <w:p w14:paraId="41052A63"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Wewnątrzzakładowe dane walidacyjne</w:t>
            </w:r>
          </w:p>
        </w:tc>
      </w:tr>
      <w:tr w:rsidR="00632C48" w:rsidRPr="009301DF" w14:paraId="4985BE39" w14:textId="77777777" w:rsidTr="00011670">
        <w:trPr>
          <w:trHeight w:hRule="exact" w:val="5577"/>
        </w:trPr>
        <w:tc>
          <w:tcPr>
            <w:tcW w:w="459" w:type="pct"/>
            <w:tcBorders>
              <w:top w:val="single" w:sz="4" w:space="0" w:color="auto"/>
              <w:left w:val="single" w:sz="4" w:space="0" w:color="auto"/>
              <w:bottom w:val="single" w:sz="4" w:space="0" w:color="auto"/>
            </w:tcBorders>
            <w:shd w:val="clear" w:color="auto" w:fill="auto"/>
          </w:tcPr>
          <w:p w14:paraId="74A8A493" w14:textId="6E48CE04" w:rsidR="00632C48" w:rsidRPr="009301DF" w:rsidRDefault="005F6F63" w:rsidP="005F6F63">
            <w:pPr>
              <w:pStyle w:val="Inne0"/>
              <w:framePr w:w="12163" w:h="6010" w:wrap="none" w:vAnchor="page" w:hAnchor="page" w:x="757" w:y="735"/>
              <w:spacing w:after="0"/>
              <w:rPr>
                <w:sz w:val="22"/>
                <w:szCs w:val="22"/>
              </w:rPr>
            </w:pPr>
            <w:r w:rsidRPr="009301DF">
              <w:rPr>
                <w:sz w:val="22"/>
              </w:rPr>
              <w:t>Tusze drobiowe</w:t>
            </w:r>
          </w:p>
        </w:tc>
        <w:tc>
          <w:tcPr>
            <w:tcW w:w="548" w:type="pct"/>
            <w:tcBorders>
              <w:top w:val="single" w:sz="4" w:space="0" w:color="auto"/>
              <w:left w:val="single" w:sz="4" w:space="0" w:color="auto"/>
              <w:bottom w:val="single" w:sz="4" w:space="0" w:color="auto"/>
            </w:tcBorders>
            <w:shd w:val="clear" w:color="auto" w:fill="auto"/>
          </w:tcPr>
          <w:p w14:paraId="04BE7E76"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 xml:space="preserve">Biologiczne - </w:t>
            </w:r>
            <w:r w:rsidRPr="009301DF">
              <w:rPr>
                <w:i/>
                <w:sz w:val="22"/>
              </w:rPr>
              <w:t>Salmonella</w:t>
            </w:r>
          </w:p>
        </w:tc>
        <w:tc>
          <w:tcPr>
            <w:tcW w:w="519" w:type="pct"/>
            <w:tcBorders>
              <w:top w:val="single" w:sz="4" w:space="0" w:color="auto"/>
              <w:left w:val="single" w:sz="4" w:space="0" w:color="auto"/>
              <w:bottom w:val="single" w:sz="4" w:space="0" w:color="auto"/>
            </w:tcBorders>
            <w:shd w:val="clear" w:color="auto" w:fill="auto"/>
          </w:tcPr>
          <w:p w14:paraId="1B062D71"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Spryskiwanie tusz kwasem nadoctowym przed schłodzeniem</w:t>
            </w:r>
          </w:p>
        </w:tc>
        <w:tc>
          <w:tcPr>
            <w:tcW w:w="775" w:type="pct"/>
            <w:tcBorders>
              <w:top w:val="single" w:sz="4" w:space="0" w:color="auto"/>
              <w:left w:val="single" w:sz="4" w:space="0" w:color="auto"/>
              <w:bottom w:val="single" w:sz="4" w:space="0" w:color="auto"/>
            </w:tcBorders>
            <w:shd w:val="clear" w:color="auto" w:fill="auto"/>
          </w:tcPr>
          <w:p w14:paraId="570A00D8" w14:textId="77777777" w:rsidR="00632C48" w:rsidRPr="009301DF" w:rsidRDefault="005F6F63" w:rsidP="005F6F63">
            <w:pPr>
              <w:pStyle w:val="Inne0"/>
              <w:framePr w:w="12163" w:h="6010" w:wrap="none" w:vAnchor="page" w:hAnchor="page" w:x="757" w:y="735"/>
              <w:rPr>
                <w:sz w:val="22"/>
                <w:szCs w:val="22"/>
              </w:rPr>
            </w:pPr>
            <w:r w:rsidRPr="009301DF">
              <w:rPr>
                <w:sz w:val="22"/>
              </w:rPr>
              <w:t>25-230 ppm kwasu nadoctowego (PAA).</w:t>
            </w:r>
          </w:p>
          <w:p w14:paraId="35CF5289" w14:textId="77777777" w:rsidR="00632C48" w:rsidRPr="009301DF" w:rsidRDefault="005F6F63" w:rsidP="005F6F63">
            <w:pPr>
              <w:pStyle w:val="Inne0"/>
              <w:framePr w:w="12163" w:h="6010" w:wrap="none" w:vAnchor="page" w:hAnchor="page" w:x="757" w:y="735"/>
              <w:spacing w:after="0"/>
              <w:rPr>
                <w:sz w:val="22"/>
                <w:szCs w:val="22"/>
              </w:rPr>
            </w:pPr>
            <w:r w:rsidRPr="009301DF">
              <w:rPr>
                <w:sz w:val="22"/>
              </w:rPr>
              <w:t>Ciśnienie lub natężenie przepływu, pH, czas kontaktu i całkowite pokrycie tuszy określone w badaniu kwestionującym.</w:t>
            </w:r>
          </w:p>
        </w:tc>
        <w:tc>
          <w:tcPr>
            <w:tcW w:w="1703" w:type="pct"/>
            <w:tcBorders>
              <w:top w:val="single" w:sz="4" w:space="0" w:color="auto"/>
              <w:left w:val="single" w:sz="4" w:space="0" w:color="auto"/>
              <w:bottom w:val="single" w:sz="4" w:space="0" w:color="auto"/>
            </w:tcBorders>
            <w:shd w:val="clear" w:color="auto" w:fill="auto"/>
          </w:tcPr>
          <w:p w14:paraId="6D9E131B" w14:textId="77777777" w:rsidR="00632C48" w:rsidRPr="009301DF" w:rsidRDefault="005F6F63" w:rsidP="005F6F63">
            <w:pPr>
              <w:pStyle w:val="Inne0"/>
              <w:framePr w:w="12163" w:h="6010" w:wrap="none" w:vAnchor="page" w:hAnchor="page" w:x="757" w:y="735"/>
              <w:spacing w:after="220"/>
              <w:rPr>
                <w:sz w:val="22"/>
                <w:szCs w:val="22"/>
              </w:rPr>
            </w:pPr>
            <w:r w:rsidRPr="009301DF">
              <w:rPr>
                <w:sz w:val="22"/>
              </w:rPr>
              <w:t>Badanie kwestionujące z laboratorium „XYZ” wykazujące redukcję o 1 log bakterii Salmonelli na tuszach drobiowych po spryskaniu PAA przy użyciu określonych krytycznych parametrów operacyjnych.</w:t>
            </w:r>
          </w:p>
          <w:p w14:paraId="644FDBA2" w14:textId="77777777" w:rsidR="00632C48" w:rsidRPr="009301DF" w:rsidRDefault="005F6F63" w:rsidP="005F6F63">
            <w:pPr>
              <w:pStyle w:val="Inne0"/>
              <w:framePr w:w="12163" w:h="6010" w:wrap="none" w:vAnchor="page" w:hAnchor="page" w:x="757" w:y="735"/>
              <w:spacing w:after="220"/>
              <w:rPr>
                <w:sz w:val="22"/>
                <w:szCs w:val="22"/>
              </w:rPr>
            </w:pPr>
            <w:r w:rsidRPr="009301DF">
              <w:rPr>
                <w:sz w:val="22"/>
              </w:rPr>
              <w:t>Decyzja środowiskowa Administracji ds. Żywności i Leków dotycząca powiadomienia o kontakcie z żywnością nr 000323: 10 kwietnia 2003 r. (</w:t>
            </w:r>
            <w:r w:rsidRPr="009301DF">
              <w:rPr>
                <w:i/>
                <w:iCs/>
                <w:sz w:val="22"/>
              </w:rPr>
              <w:t>Food and Drug Administration Environmental Decision Memo for Food Contact Notification No. 000323: 10 kwietnia 2003 r.</w:t>
            </w:r>
            <w:r w:rsidRPr="009301DF">
              <w:rPr>
                <w:sz w:val="22"/>
              </w:rPr>
              <w:t>)</w:t>
            </w:r>
          </w:p>
          <w:p w14:paraId="66A9B42F" w14:textId="77777777" w:rsidR="00632C48" w:rsidRPr="009301DF" w:rsidRDefault="005F6F63" w:rsidP="005F6F63">
            <w:pPr>
              <w:pStyle w:val="Inne0"/>
              <w:framePr w:w="12163" w:h="6010" w:wrap="none" w:vAnchor="page" w:hAnchor="page" w:x="757" w:y="735"/>
              <w:spacing w:after="220"/>
              <w:rPr>
                <w:sz w:val="22"/>
                <w:szCs w:val="22"/>
              </w:rPr>
            </w:pPr>
            <w:r w:rsidRPr="009301DF">
              <w:rPr>
                <w:sz w:val="22"/>
              </w:rPr>
              <w:t>FSIS List o braku zastrzeżeń do stosowania sprayu PAA, 12 czerwca 2007 r. w aktach firmy „ABC”.</w:t>
            </w:r>
          </w:p>
          <w:p w14:paraId="17726337" w14:textId="77777777" w:rsidR="00632C48" w:rsidRPr="009301DF" w:rsidRDefault="005F6F63" w:rsidP="005F6F63">
            <w:pPr>
              <w:pStyle w:val="Inne0"/>
              <w:framePr w:w="12163" w:h="6010" w:wrap="none" w:vAnchor="page" w:hAnchor="page" w:x="757" w:y="735"/>
              <w:spacing w:after="220"/>
              <w:rPr>
                <w:sz w:val="22"/>
                <w:szCs w:val="22"/>
              </w:rPr>
            </w:pPr>
            <w:r w:rsidRPr="009301DF">
              <w:rPr>
                <w:sz w:val="22"/>
              </w:rPr>
              <w:t>Dyrektywa FSIS 7120.1</w:t>
            </w:r>
          </w:p>
        </w:tc>
        <w:tc>
          <w:tcPr>
            <w:tcW w:w="995" w:type="pct"/>
            <w:tcBorders>
              <w:top w:val="single" w:sz="4" w:space="0" w:color="auto"/>
              <w:left w:val="single" w:sz="4" w:space="0" w:color="auto"/>
              <w:bottom w:val="single" w:sz="4" w:space="0" w:color="auto"/>
              <w:right w:val="single" w:sz="4" w:space="0" w:color="auto"/>
            </w:tcBorders>
            <w:shd w:val="clear" w:color="auto" w:fill="auto"/>
          </w:tcPr>
          <w:p w14:paraId="1A54FD4A" w14:textId="77777777" w:rsidR="00632C48" w:rsidRPr="009301DF" w:rsidRDefault="005F6F63" w:rsidP="00220AA2">
            <w:pPr>
              <w:pStyle w:val="Inne0"/>
              <w:framePr w:w="12163" w:h="6010" w:wrap="none" w:vAnchor="page" w:hAnchor="page" w:x="757" w:y="735"/>
              <w:spacing w:after="0"/>
              <w:ind w:right="215"/>
              <w:rPr>
                <w:sz w:val="22"/>
                <w:szCs w:val="22"/>
              </w:rPr>
            </w:pPr>
            <w:r w:rsidRPr="009301DF">
              <w:rPr>
                <w:sz w:val="22"/>
              </w:rPr>
              <w:t>Zapisy monitorowania w zakładzie przez okres 90 dni potwierdzają, że roztwór przeciwdrobnoustrojowy został zastosowany w badaniu zgodnie z krytycznymi parametrami operacyjnymi (ciśnienie, pH, czas kontaktu i pokrycie tuszy).</w:t>
            </w:r>
          </w:p>
        </w:tc>
      </w:tr>
    </w:tbl>
    <w:p w14:paraId="2ADF6F58"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58BF4641"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568"/>
        <w:gridCol w:w="1297"/>
        <w:gridCol w:w="1581"/>
        <w:gridCol w:w="2061"/>
        <w:gridCol w:w="2687"/>
        <w:gridCol w:w="2969"/>
      </w:tblGrid>
      <w:tr w:rsidR="00632C48" w:rsidRPr="009301DF" w14:paraId="6C3FBD4F" w14:textId="77777777" w:rsidTr="002F0761">
        <w:trPr>
          <w:trHeight w:hRule="exact" w:val="572"/>
        </w:trPr>
        <w:tc>
          <w:tcPr>
            <w:tcW w:w="5000" w:type="pct"/>
            <w:gridSpan w:val="6"/>
            <w:shd w:val="clear" w:color="auto" w:fill="auto"/>
          </w:tcPr>
          <w:p w14:paraId="3CF709CC" w14:textId="77777777" w:rsidR="00632C48" w:rsidRPr="009301DF" w:rsidRDefault="005F6F63" w:rsidP="002F0761">
            <w:pPr>
              <w:pStyle w:val="Inne0"/>
              <w:framePr w:w="12163" w:h="8309" w:wrap="none" w:vAnchor="page" w:hAnchor="page" w:x="1191" w:y="735"/>
              <w:spacing w:after="0"/>
            </w:pPr>
            <w:r w:rsidRPr="009301DF">
              <w:t>Wyłącznie do celów ilustracyjnych</w:t>
            </w:r>
          </w:p>
        </w:tc>
      </w:tr>
      <w:tr w:rsidR="00632C48" w:rsidRPr="009301DF" w14:paraId="5FD8D1FD" w14:textId="77777777" w:rsidTr="002F0761">
        <w:trPr>
          <w:trHeight w:hRule="exact" w:val="498"/>
        </w:trPr>
        <w:tc>
          <w:tcPr>
            <w:tcW w:w="669" w:type="pct"/>
            <w:vMerge w:val="restart"/>
            <w:tcBorders>
              <w:top w:val="single" w:sz="4" w:space="0" w:color="auto"/>
              <w:left w:val="single" w:sz="4" w:space="0" w:color="auto"/>
            </w:tcBorders>
            <w:shd w:val="clear" w:color="auto" w:fill="auto"/>
          </w:tcPr>
          <w:p w14:paraId="644E769C" w14:textId="77777777" w:rsidR="00632C48" w:rsidRPr="009301DF" w:rsidRDefault="005F6F63" w:rsidP="002F0761">
            <w:pPr>
              <w:pStyle w:val="Inne0"/>
              <w:framePr w:w="12163" w:h="8309" w:wrap="none" w:vAnchor="page" w:hAnchor="page" w:x="1191" w:y="735"/>
              <w:spacing w:after="0"/>
            </w:pPr>
            <w:r w:rsidRPr="009301DF">
              <w:t>Produkt</w:t>
            </w:r>
          </w:p>
        </w:tc>
        <w:tc>
          <w:tcPr>
            <w:tcW w:w="592" w:type="pct"/>
            <w:vMerge w:val="restart"/>
            <w:tcBorders>
              <w:top w:val="single" w:sz="4" w:space="0" w:color="auto"/>
              <w:left w:val="single" w:sz="4" w:space="0" w:color="auto"/>
            </w:tcBorders>
            <w:shd w:val="clear" w:color="auto" w:fill="auto"/>
          </w:tcPr>
          <w:p w14:paraId="312922B4" w14:textId="77777777" w:rsidR="00632C48" w:rsidRPr="009301DF" w:rsidRDefault="005F6F63" w:rsidP="002F0761">
            <w:pPr>
              <w:pStyle w:val="Inne0"/>
              <w:framePr w:w="12163" w:h="8309" w:wrap="none" w:vAnchor="page" w:hAnchor="page" w:x="1191" w:y="735"/>
              <w:spacing w:after="0"/>
            </w:pPr>
            <w:r w:rsidRPr="009301DF">
              <w:t>Zagrożenie:</w:t>
            </w:r>
          </w:p>
        </w:tc>
        <w:tc>
          <w:tcPr>
            <w:tcW w:w="554" w:type="pct"/>
            <w:vMerge w:val="restart"/>
            <w:tcBorders>
              <w:top w:val="single" w:sz="4" w:space="0" w:color="auto"/>
              <w:left w:val="single" w:sz="4" w:space="0" w:color="auto"/>
            </w:tcBorders>
            <w:shd w:val="clear" w:color="auto" w:fill="auto"/>
          </w:tcPr>
          <w:p w14:paraId="122519AD" w14:textId="77777777" w:rsidR="00632C48" w:rsidRPr="009301DF" w:rsidRDefault="005F6F63" w:rsidP="002F0761">
            <w:pPr>
              <w:pStyle w:val="Inne0"/>
              <w:framePr w:w="12163" w:h="8309" w:wrap="none" w:vAnchor="page" w:hAnchor="page" w:x="1191" w:y="735"/>
              <w:spacing w:after="0"/>
            </w:pPr>
            <w:r w:rsidRPr="009301DF">
              <w:t>Proces</w:t>
            </w:r>
          </w:p>
        </w:tc>
        <w:tc>
          <w:tcPr>
            <w:tcW w:w="777" w:type="pct"/>
            <w:vMerge w:val="restart"/>
            <w:tcBorders>
              <w:top w:val="single" w:sz="4" w:space="0" w:color="auto"/>
              <w:left w:val="single" w:sz="4" w:space="0" w:color="auto"/>
            </w:tcBorders>
            <w:shd w:val="clear" w:color="auto" w:fill="auto"/>
          </w:tcPr>
          <w:p w14:paraId="6B1070D4" w14:textId="3D2C47EC" w:rsidR="00632C48" w:rsidRPr="009301DF" w:rsidRDefault="005F6F63" w:rsidP="002F0761">
            <w:pPr>
              <w:pStyle w:val="Inne0"/>
              <w:framePr w:w="12163" w:h="8309" w:wrap="none" w:vAnchor="page" w:hAnchor="page" w:x="1191" w:y="735"/>
              <w:spacing w:after="0"/>
            </w:pPr>
            <w:r w:rsidRPr="009301DF">
              <w:t>Krytyczne parametry operacyjne</w:t>
            </w:r>
          </w:p>
        </w:tc>
        <w:tc>
          <w:tcPr>
            <w:tcW w:w="2409" w:type="pct"/>
            <w:gridSpan w:val="2"/>
            <w:tcBorders>
              <w:top w:val="single" w:sz="4" w:space="0" w:color="auto"/>
              <w:left w:val="single" w:sz="4" w:space="0" w:color="auto"/>
              <w:right w:val="single" w:sz="4" w:space="0" w:color="auto"/>
            </w:tcBorders>
            <w:shd w:val="clear" w:color="auto" w:fill="auto"/>
          </w:tcPr>
          <w:p w14:paraId="70C565A1" w14:textId="77777777" w:rsidR="00632C48" w:rsidRPr="009301DF" w:rsidRDefault="005F6F63" w:rsidP="002F0761">
            <w:pPr>
              <w:pStyle w:val="Inne0"/>
              <w:framePr w:w="12163" w:h="8309" w:wrap="none" w:vAnchor="page" w:hAnchor="page" w:x="1191" w:y="735"/>
              <w:spacing w:after="0"/>
            </w:pPr>
            <w:r w:rsidRPr="009301DF">
              <w:t>Potwierdzenie</w:t>
            </w:r>
          </w:p>
        </w:tc>
      </w:tr>
      <w:tr w:rsidR="00632C48" w:rsidRPr="009301DF" w14:paraId="28660099" w14:textId="77777777" w:rsidTr="002F0761">
        <w:trPr>
          <w:trHeight w:hRule="exact" w:val="689"/>
        </w:trPr>
        <w:tc>
          <w:tcPr>
            <w:tcW w:w="669" w:type="pct"/>
            <w:vMerge/>
            <w:tcBorders>
              <w:left w:val="single" w:sz="4" w:space="0" w:color="auto"/>
            </w:tcBorders>
            <w:shd w:val="clear" w:color="auto" w:fill="auto"/>
          </w:tcPr>
          <w:p w14:paraId="1BFCC488" w14:textId="77777777" w:rsidR="00632C48" w:rsidRPr="009301DF" w:rsidRDefault="00632C48" w:rsidP="002F0761">
            <w:pPr>
              <w:framePr w:w="12163" w:h="8309" w:wrap="none" w:vAnchor="page" w:hAnchor="page" w:x="1191" w:y="735"/>
            </w:pPr>
          </w:p>
        </w:tc>
        <w:tc>
          <w:tcPr>
            <w:tcW w:w="592" w:type="pct"/>
            <w:vMerge/>
            <w:tcBorders>
              <w:left w:val="single" w:sz="4" w:space="0" w:color="auto"/>
            </w:tcBorders>
            <w:shd w:val="clear" w:color="auto" w:fill="auto"/>
          </w:tcPr>
          <w:p w14:paraId="4B0C6548" w14:textId="77777777" w:rsidR="00632C48" w:rsidRPr="009301DF" w:rsidRDefault="00632C48" w:rsidP="002F0761">
            <w:pPr>
              <w:framePr w:w="12163" w:h="8309" w:wrap="none" w:vAnchor="page" w:hAnchor="page" w:x="1191" w:y="735"/>
            </w:pPr>
          </w:p>
        </w:tc>
        <w:tc>
          <w:tcPr>
            <w:tcW w:w="554" w:type="pct"/>
            <w:vMerge/>
            <w:tcBorders>
              <w:left w:val="single" w:sz="4" w:space="0" w:color="auto"/>
            </w:tcBorders>
            <w:shd w:val="clear" w:color="auto" w:fill="auto"/>
          </w:tcPr>
          <w:p w14:paraId="359646C3" w14:textId="77777777" w:rsidR="00632C48" w:rsidRPr="009301DF" w:rsidRDefault="00632C48" w:rsidP="002F0761">
            <w:pPr>
              <w:framePr w:w="12163" w:h="8309" w:wrap="none" w:vAnchor="page" w:hAnchor="page" w:x="1191" w:y="735"/>
            </w:pPr>
          </w:p>
        </w:tc>
        <w:tc>
          <w:tcPr>
            <w:tcW w:w="777" w:type="pct"/>
            <w:vMerge/>
            <w:tcBorders>
              <w:left w:val="single" w:sz="4" w:space="0" w:color="auto"/>
            </w:tcBorders>
            <w:shd w:val="clear" w:color="auto" w:fill="auto"/>
          </w:tcPr>
          <w:p w14:paraId="612564E1" w14:textId="77777777" w:rsidR="00632C48" w:rsidRPr="009301DF" w:rsidRDefault="00632C48" w:rsidP="002F0761">
            <w:pPr>
              <w:framePr w:w="12163" w:h="8309" w:wrap="none" w:vAnchor="page" w:hAnchor="page" w:x="1191" w:y="735"/>
            </w:pPr>
          </w:p>
        </w:tc>
        <w:tc>
          <w:tcPr>
            <w:tcW w:w="1146" w:type="pct"/>
            <w:tcBorders>
              <w:top w:val="single" w:sz="4" w:space="0" w:color="auto"/>
              <w:left w:val="single" w:sz="4" w:space="0" w:color="auto"/>
            </w:tcBorders>
            <w:shd w:val="clear" w:color="auto" w:fill="auto"/>
          </w:tcPr>
          <w:p w14:paraId="640D960E" w14:textId="5261D135" w:rsidR="00632C48" w:rsidRPr="009301DF" w:rsidRDefault="005F6F63" w:rsidP="002F0761">
            <w:pPr>
              <w:pStyle w:val="Inne0"/>
              <w:framePr w:w="12163" w:h="8309" w:wrap="none" w:vAnchor="page" w:hAnchor="page" w:x="1191" w:y="735"/>
              <w:spacing w:after="0"/>
              <w:rPr>
                <w:sz w:val="22"/>
                <w:szCs w:val="22"/>
              </w:rPr>
            </w:pPr>
            <w:r w:rsidRPr="009301DF">
              <w:rPr>
                <w:sz w:val="22"/>
              </w:rPr>
              <w:t>Wsparcie naukowe lub techniczne</w:t>
            </w:r>
          </w:p>
        </w:tc>
        <w:tc>
          <w:tcPr>
            <w:tcW w:w="1263" w:type="pct"/>
            <w:tcBorders>
              <w:top w:val="single" w:sz="4" w:space="0" w:color="auto"/>
              <w:left w:val="single" w:sz="4" w:space="0" w:color="auto"/>
              <w:right w:val="single" w:sz="4" w:space="0" w:color="auto"/>
            </w:tcBorders>
            <w:shd w:val="clear" w:color="auto" w:fill="auto"/>
          </w:tcPr>
          <w:p w14:paraId="784273EB" w14:textId="77777777" w:rsidR="00632C48" w:rsidRPr="009301DF" w:rsidRDefault="005F6F63" w:rsidP="002F0761">
            <w:pPr>
              <w:pStyle w:val="Inne0"/>
              <w:framePr w:w="12163" w:h="8309" w:wrap="none" w:vAnchor="page" w:hAnchor="page" w:x="1191" w:y="735"/>
              <w:spacing w:after="0"/>
              <w:rPr>
                <w:sz w:val="22"/>
                <w:szCs w:val="22"/>
              </w:rPr>
            </w:pPr>
            <w:r w:rsidRPr="009301DF">
              <w:rPr>
                <w:sz w:val="22"/>
              </w:rPr>
              <w:t>Wewnątrzzakładowe dane walidacyjne</w:t>
            </w:r>
          </w:p>
        </w:tc>
      </w:tr>
      <w:tr w:rsidR="00632C48" w:rsidRPr="009301DF" w14:paraId="6A3B38CA" w14:textId="77777777" w:rsidTr="002F0761">
        <w:trPr>
          <w:trHeight w:hRule="exact" w:val="8217"/>
        </w:trPr>
        <w:tc>
          <w:tcPr>
            <w:tcW w:w="669" w:type="pct"/>
            <w:tcBorders>
              <w:top w:val="single" w:sz="4" w:space="0" w:color="auto"/>
              <w:left w:val="single" w:sz="4" w:space="0" w:color="auto"/>
              <w:bottom w:val="single" w:sz="4" w:space="0" w:color="auto"/>
            </w:tcBorders>
            <w:shd w:val="clear" w:color="auto" w:fill="auto"/>
          </w:tcPr>
          <w:p w14:paraId="6C31BBBB" w14:textId="77777777" w:rsidR="00632C48" w:rsidRPr="009301DF" w:rsidRDefault="005F6F63" w:rsidP="002F0761">
            <w:pPr>
              <w:pStyle w:val="Inne0"/>
              <w:framePr w:w="12163" w:h="8309" w:wrap="none" w:vAnchor="page" w:hAnchor="page" w:x="1191" w:y="735"/>
              <w:spacing w:after="0"/>
            </w:pPr>
            <w:r w:rsidRPr="009301DF">
              <w:t>Części drobiu przeznaczone do mielenia oraz drób mielony (w tym drób oddzielany mechanicznie)</w:t>
            </w:r>
          </w:p>
        </w:tc>
        <w:tc>
          <w:tcPr>
            <w:tcW w:w="592" w:type="pct"/>
            <w:tcBorders>
              <w:top w:val="single" w:sz="4" w:space="0" w:color="auto"/>
              <w:left w:val="single" w:sz="4" w:space="0" w:color="auto"/>
              <w:bottom w:val="single" w:sz="4" w:space="0" w:color="auto"/>
            </w:tcBorders>
            <w:shd w:val="clear" w:color="auto" w:fill="auto"/>
          </w:tcPr>
          <w:p w14:paraId="3BD055E1" w14:textId="5CF4213A" w:rsidR="00632C48" w:rsidRPr="009301DF" w:rsidRDefault="005F6F63" w:rsidP="002F0761">
            <w:pPr>
              <w:pStyle w:val="Inne0"/>
              <w:framePr w:w="12163" w:h="8309" w:wrap="none" w:vAnchor="page" w:hAnchor="page" w:x="1191" w:y="735"/>
              <w:spacing w:after="0"/>
            </w:pPr>
            <w:r w:rsidRPr="009301DF">
              <w:rPr>
                <w:sz w:val="22"/>
              </w:rPr>
              <w:t xml:space="preserve">Biologiczne - </w:t>
            </w:r>
            <w:r w:rsidRPr="009301DF">
              <w:rPr>
                <w:i/>
              </w:rPr>
              <w:t>Salmonella</w:t>
            </w:r>
          </w:p>
        </w:tc>
        <w:tc>
          <w:tcPr>
            <w:tcW w:w="554" w:type="pct"/>
            <w:tcBorders>
              <w:top w:val="single" w:sz="4" w:space="0" w:color="auto"/>
              <w:left w:val="single" w:sz="4" w:space="0" w:color="auto"/>
              <w:bottom w:val="single" w:sz="4" w:space="0" w:color="auto"/>
            </w:tcBorders>
            <w:shd w:val="clear" w:color="auto" w:fill="auto"/>
          </w:tcPr>
          <w:p w14:paraId="427B60D2" w14:textId="77777777" w:rsidR="00632C48" w:rsidRPr="009301DF" w:rsidRDefault="005F6F63" w:rsidP="002F0761">
            <w:pPr>
              <w:pStyle w:val="Inne0"/>
              <w:framePr w:w="12163" w:h="8309" w:wrap="none" w:vAnchor="page" w:hAnchor="page" w:x="1191" w:y="735"/>
              <w:spacing w:after="0"/>
            </w:pPr>
            <w:r w:rsidRPr="009301DF">
              <w:t>Zakwaszony chloryn sodu nakładany na części drobiowe jako dip (powlekanie zanurzeniowe) przed mieleniem oraz stosowany na zmielony drób.</w:t>
            </w:r>
          </w:p>
        </w:tc>
        <w:tc>
          <w:tcPr>
            <w:tcW w:w="777" w:type="pct"/>
            <w:tcBorders>
              <w:top w:val="single" w:sz="4" w:space="0" w:color="auto"/>
              <w:left w:val="single" w:sz="4" w:space="0" w:color="auto"/>
              <w:bottom w:val="single" w:sz="4" w:space="0" w:color="auto"/>
            </w:tcBorders>
            <w:shd w:val="clear" w:color="auto" w:fill="auto"/>
          </w:tcPr>
          <w:p w14:paraId="123E2817" w14:textId="77777777" w:rsidR="00632C48" w:rsidRPr="009301DF" w:rsidRDefault="005F6F63" w:rsidP="002F0761">
            <w:pPr>
              <w:pStyle w:val="Inne0"/>
              <w:framePr w:w="12163" w:h="8309" w:wrap="none" w:vAnchor="page" w:hAnchor="page" w:x="1191" w:y="735"/>
              <w:spacing w:after="260"/>
            </w:pPr>
            <w:r w:rsidRPr="009301DF">
              <w:t>1200 ppm zakwaszonego chlorynu sodu w połączeniu z dowolnym kwasem GRAS (</w:t>
            </w:r>
            <w:r w:rsidRPr="009301DF">
              <w:rPr>
                <w:i/>
                <w:iCs/>
              </w:rPr>
              <w:t>GRAS - Generally Recognised As Safe - uważany za bezpieczny</w:t>
            </w:r>
            <w:r w:rsidRPr="009301DF">
              <w:t>) na poziomie wystarczającym do osiągnięcia pH 2,5 zgodnie z 21 CFR 173.325 i wsparciem naukowym</w:t>
            </w:r>
            <w:r w:rsidRPr="009301DF">
              <w:rPr>
                <w:i/>
              </w:rPr>
              <w:t>(Uwaga: PH zależy od zastosowania, zob. 21 CFR 173.325)</w:t>
            </w:r>
          </w:p>
          <w:p w14:paraId="7594BEFD" w14:textId="77777777" w:rsidR="00632C48" w:rsidRPr="009301DF" w:rsidRDefault="005F6F63" w:rsidP="002F0761">
            <w:pPr>
              <w:pStyle w:val="Inne0"/>
              <w:framePr w:w="12163" w:h="8309" w:wrap="none" w:vAnchor="page" w:hAnchor="page" w:x="1191" w:y="735"/>
              <w:spacing w:after="0"/>
            </w:pPr>
            <w:r w:rsidRPr="009301DF">
              <w:t>Czas kontaktu podczas dip oraz całkowite pokrycie.</w:t>
            </w:r>
          </w:p>
        </w:tc>
        <w:tc>
          <w:tcPr>
            <w:tcW w:w="1146" w:type="pct"/>
            <w:tcBorders>
              <w:top w:val="single" w:sz="4" w:space="0" w:color="auto"/>
              <w:left w:val="single" w:sz="4" w:space="0" w:color="auto"/>
              <w:bottom w:val="single" w:sz="4" w:space="0" w:color="auto"/>
            </w:tcBorders>
            <w:shd w:val="clear" w:color="auto" w:fill="auto"/>
          </w:tcPr>
          <w:p w14:paraId="666FD86F" w14:textId="77777777" w:rsidR="00632C48" w:rsidRPr="009301DF" w:rsidRDefault="005F6F63" w:rsidP="002F0761">
            <w:pPr>
              <w:pStyle w:val="Inne0"/>
              <w:framePr w:w="12163" w:h="8309" w:wrap="none" w:vAnchor="page" w:hAnchor="page" w:x="1191" w:y="735"/>
            </w:pPr>
            <w:r w:rsidRPr="009301DF">
              <w:t>Broszura producenta chemikaliów wykazująca redukcję Salmonelli o 1-log</w:t>
            </w:r>
            <w:r w:rsidRPr="009301DF">
              <w:rPr>
                <w:vertAlign w:val="subscript"/>
              </w:rPr>
              <w:t>10</w:t>
            </w:r>
            <w:r w:rsidRPr="009301DF">
              <w:t xml:space="preserve"> na częściach drobiowych po użyciu zakwaszonego chlorynu sodu przy zastosowaniu określonych krytycznych parametrów operacyjnych.</w:t>
            </w:r>
          </w:p>
          <w:p w14:paraId="6BCF0326" w14:textId="77777777" w:rsidR="00632C48" w:rsidRPr="009301DF" w:rsidRDefault="005F6F63" w:rsidP="002F0761">
            <w:pPr>
              <w:pStyle w:val="Inne0"/>
              <w:framePr w:w="12163" w:h="8309" w:wrap="none" w:vAnchor="page" w:hAnchor="page" w:x="1191" w:y="735"/>
            </w:pPr>
            <w:r w:rsidRPr="009301DF">
              <w:t>21 CFR 173.325 dla części drobiowych i określenia dopuszczalności dla drobiu mielonego.</w:t>
            </w:r>
          </w:p>
          <w:p w14:paraId="7FB8A710" w14:textId="77777777" w:rsidR="00632C48" w:rsidRPr="009301DF" w:rsidRDefault="005F6F63" w:rsidP="002F0761">
            <w:pPr>
              <w:pStyle w:val="Inne0"/>
              <w:framePr w:w="12163" w:h="8309" w:wrap="none" w:vAnchor="page" w:hAnchor="page" w:x="1191" w:y="735"/>
            </w:pPr>
            <w:r w:rsidRPr="009301DF">
              <w:t>Dyrektywa FSIS 7120.1</w:t>
            </w:r>
          </w:p>
        </w:tc>
        <w:tc>
          <w:tcPr>
            <w:tcW w:w="1263" w:type="pct"/>
            <w:tcBorders>
              <w:top w:val="single" w:sz="4" w:space="0" w:color="auto"/>
              <w:left w:val="single" w:sz="4" w:space="0" w:color="auto"/>
              <w:bottom w:val="single" w:sz="4" w:space="0" w:color="auto"/>
              <w:right w:val="single" w:sz="4" w:space="0" w:color="auto"/>
            </w:tcBorders>
            <w:shd w:val="clear" w:color="auto" w:fill="auto"/>
          </w:tcPr>
          <w:p w14:paraId="69EDFE21" w14:textId="77777777" w:rsidR="00632C48" w:rsidRPr="009301DF" w:rsidRDefault="005F6F63" w:rsidP="002F0761">
            <w:pPr>
              <w:pStyle w:val="Inne0"/>
              <w:framePr w:w="12163" w:h="8309" w:wrap="none" w:vAnchor="page" w:hAnchor="page" w:x="1191" w:y="735"/>
              <w:spacing w:after="0"/>
            </w:pPr>
            <w:r w:rsidRPr="009301DF">
              <w:t>Zapisy z monitorowania zakładu za okres 90 dni, które wskazują, że środek przeciwdrobnoustrojowy został zastosowany do części drobiowych przed rozdrobnieniem oraz do mechanicznie oddzielonego drobiu przed zmieszaniem zgodnie z odpowiednim stężeniem i pH i które wskazują, że czas kontaktu i całkowite pokrycie zostały osiągnięte zgodnie z dowodami naukowymi.</w:t>
            </w:r>
          </w:p>
        </w:tc>
      </w:tr>
    </w:tbl>
    <w:p w14:paraId="7CFE806F"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4A922779" w14:textId="77777777" w:rsidR="00632C48" w:rsidRPr="009301DF" w:rsidRDefault="00632C48">
      <w:pPr>
        <w:spacing w:line="1" w:lineRule="exact"/>
      </w:pPr>
    </w:p>
    <w:tbl>
      <w:tblPr>
        <w:tblOverlap w:val="never"/>
        <w:tblW w:w="0" w:type="auto"/>
        <w:tblCellMar>
          <w:left w:w="10" w:type="dxa"/>
          <w:right w:w="10" w:type="dxa"/>
        </w:tblCellMar>
        <w:tblLook w:val="04A0" w:firstRow="1" w:lastRow="0" w:firstColumn="1" w:lastColumn="0" w:noHBand="0" w:noVBand="1"/>
      </w:tblPr>
      <w:tblGrid>
        <w:gridCol w:w="1324"/>
        <w:gridCol w:w="1312"/>
        <w:gridCol w:w="1581"/>
        <w:gridCol w:w="2284"/>
        <w:gridCol w:w="3294"/>
        <w:gridCol w:w="2368"/>
      </w:tblGrid>
      <w:tr w:rsidR="00632C48" w:rsidRPr="009301DF" w14:paraId="19F28087" w14:textId="77777777" w:rsidTr="00011670">
        <w:trPr>
          <w:trHeight w:hRule="exact" w:val="443"/>
        </w:trPr>
        <w:tc>
          <w:tcPr>
            <w:tcW w:w="0" w:type="auto"/>
            <w:gridSpan w:val="6"/>
            <w:shd w:val="clear" w:color="auto" w:fill="auto"/>
          </w:tcPr>
          <w:p w14:paraId="64011E41" w14:textId="77777777" w:rsidR="00632C48" w:rsidRPr="009301DF" w:rsidRDefault="005F6F63">
            <w:pPr>
              <w:pStyle w:val="Inne0"/>
              <w:framePr w:w="12163" w:h="9115" w:wrap="none" w:vAnchor="page" w:hAnchor="page" w:x="1191" w:y="735"/>
              <w:spacing w:after="0"/>
            </w:pPr>
            <w:r w:rsidRPr="009301DF">
              <w:t>Wyłącznie do celów ilustracyjnych</w:t>
            </w:r>
          </w:p>
        </w:tc>
      </w:tr>
      <w:tr w:rsidR="00632C48" w:rsidRPr="009301DF" w14:paraId="699A5816" w14:textId="77777777" w:rsidTr="00011670">
        <w:trPr>
          <w:trHeight w:hRule="exact" w:val="443"/>
        </w:trPr>
        <w:tc>
          <w:tcPr>
            <w:tcW w:w="0" w:type="auto"/>
            <w:vMerge w:val="restart"/>
            <w:tcBorders>
              <w:top w:val="single" w:sz="4" w:space="0" w:color="auto"/>
              <w:left w:val="single" w:sz="4" w:space="0" w:color="auto"/>
            </w:tcBorders>
            <w:shd w:val="clear" w:color="auto" w:fill="auto"/>
          </w:tcPr>
          <w:p w14:paraId="07397784" w14:textId="77777777" w:rsidR="00632C48" w:rsidRPr="009301DF" w:rsidRDefault="005F6F63" w:rsidP="005F6F63">
            <w:pPr>
              <w:pStyle w:val="Inne0"/>
              <w:framePr w:w="12163" w:h="9115" w:wrap="none" w:vAnchor="page" w:hAnchor="page" w:x="1191" w:y="735"/>
              <w:spacing w:after="0"/>
            </w:pPr>
            <w:r w:rsidRPr="009301DF">
              <w:t>Produkt</w:t>
            </w:r>
          </w:p>
        </w:tc>
        <w:tc>
          <w:tcPr>
            <w:tcW w:w="0" w:type="auto"/>
            <w:vMerge w:val="restart"/>
            <w:tcBorders>
              <w:top w:val="single" w:sz="4" w:space="0" w:color="auto"/>
              <w:left w:val="single" w:sz="4" w:space="0" w:color="auto"/>
            </w:tcBorders>
            <w:shd w:val="clear" w:color="auto" w:fill="auto"/>
          </w:tcPr>
          <w:p w14:paraId="42AAA678" w14:textId="77777777" w:rsidR="00632C48" w:rsidRPr="009301DF" w:rsidRDefault="005F6F63" w:rsidP="005F6F63">
            <w:pPr>
              <w:pStyle w:val="Inne0"/>
              <w:framePr w:w="12163" w:h="9115" w:wrap="none" w:vAnchor="page" w:hAnchor="page" w:x="1191" w:y="735"/>
              <w:spacing w:after="0"/>
            </w:pPr>
            <w:r w:rsidRPr="009301DF">
              <w:t>Zagrożenie:</w:t>
            </w:r>
          </w:p>
        </w:tc>
        <w:tc>
          <w:tcPr>
            <w:tcW w:w="0" w:type="auto"/>
            <w:vMerge w:val="restart"/>
            <w:tcBorders>
              <w:top w:val="single" w:sz="4" w:space="0" w:color="auto"/>
              <w:left w:val="single" w:sz="4" w:space="0" w:color="auto"/>
            </w:tcBorders>
            <w:shd w:val="clear" w:color="auto" w:fill="auto"/>
          </w:tcPr>
          <w:p w14:paraId="27C1272E" w14:textId="77777777" w:rsidR="00632C48" w:rsidRPr="009301DF" w:rsidRDefault="005F6F63" w:rsidP="005F6F63">
            <w:pPr>
              <w:pStyle w:val="Inne0"/>
              <w:framePr w:w="12163" w:h="9115" w:wrap="none" w:vAnchor="page" w:hAnchor="page" w:x="1191" w:y="735"/>
              <w:spacing w:after="0"/>
            </w:pPr>
            <w:r w:rsidRPr="009301DF">
              <w:t>Proces</w:t>
            </w:r>
          </w:p>
        </w:tc>
        <w:tc>
          <w:tcPr>
            <w:tcW w:w="0" w:type="auto"/>
            <w:vMerge w:val="restart"/>
            <w:tcBorders>
              <w:top w:val="single" w:sz="4" w:space="0" w:color="auto"/>
              <w:left w:val="single" w:sz="4" w:space="0" w:color="auto"/>
            </w:tcBorders>
            <w:shd w:val="clear" w:color="auto" w:fill="auto"/>
          </w:tcPr>
          <w:p w14:paraId="0E064EE9" w14:textId="784CB7B6" w:rsidR="00632C48" w:rsidRPr="009301DF" w:rsidRDefault="005F6F63" w:rsidP="002F0761">
            <w:pPr>
              <w:pStyle w:val="Inne0"/>
              <w:framePr w:w="12163" w:h="9115" w:wrap="none" w:vAnchor="page" w:hAnchor="page" w:x="1191" w:y="735"/>
              <w:spacing w:after="0"/>
            </w:pPr>
            <w:r w:rsidRPr="009301DF">
              <w:t>Krytyczne parametry operacyjne</w:t>
            </w:r>
          </w:p>
        </w:tc>
        <w:tc>
          <w:tcPr>
            <w:tcW w:w="0" w:type="auto"/>
            <w:gridSpan w:val="2"/>
            <w:tcBorders>
              <w:top w:val="single" w:sz="4" w:space="0" w:color="auto"/>
              <w:left w:val="single" w:sz="4" w:space="0" w:color="auto"/>
              <w:right w:val="single" w:sz="4" w:space="0" w:color="auto"/>
            </w:tcBorders>
            <w:shd w:val="clear" w:color="auto" w:fill="auto"/>
          </w:tcPr>
          <w:p w14:paraId="230DF5C5" w14:textId="77777777" w:rsidR="00632C48" w:rsidRPr="009301DF" w:rsidRDefault="005F6F63" w:rsidP="005F6F63">
            <w:pPr>
              <w:pStyle w:val="Inne0"/>
              <w:framePr w:w="12163" w:h="9115" w:wrap="none" w:vAnchor="page" w:hAnchor="page" w:x="1191" w:y="735"/>
              <w:spacing w:after="0"/>
            </w:pPr>
            <w:r w:rsidRPr="009301DF">
              <w:t>Potwierdzenie</w:t>
            </w:r>
          </w:p>
        </w:tc>
      </w:tr>
      <w:tr w:rsidR="00632C48" w:rsidRPr="009301DF" w14:paraId="778E3378" w14:textId="77777777" w:rsidTr="00011670">
        <w:trPr>
          <w:trHeight w:hRule="exact" w:val="600"/>
        </w:trPr>
        <w:tc>
          <w:tcPr>
            <w:tcW w:w="0" w:type="auto"/>
            <w:vMerge/>
            <w:tcBorders>
              <w:left w:val="single" w:sz="4" w:space="0" w:color="auto"/>
            </w:tcBorders>
            <w:shd w:val="clear" w:color="auto" w:fill="auto"/>
          </w:tcPr>
          <w:p w14:paraId="613235CE" w14:textId="77777777" w:rsidR="00632C48" w:rsidRPr="009301DF" w:rsidRDefault="00632C48" w:rsidP="005F6F63">
            <w:pPr>
              <w:framePr w:w="12163" w:h="9115" w:wrap="none" w:vAnchor="page" w:hAnchor="page" w:x="1191" w:y="735"/>
            </w:pPr>
          </w:p>
        </w:tc>
        <w:tc>
          <w:tcPr>
            <w:tcW w:w="0" w:type="auto"/>
            <w:vMerge/>
            <w:tcBorders>
              <w:left w:val="single" w:sz="4" w:space="0" w:color="auto"/>
            </w:tcBorders>
            <w:shd w:val="clear" w:color="auto" w:fill="auto"/>
          </w:tcPr>
          <w:p w14:paraId="5E471CAA" w14:textId="77777777" w:rsidR="00632C48" w:rsidRPr="009301DF" w:rsidRDefault="00632C48" w:rsidP="005F6F63">
            <w:pPr>
              <w:framePr w:w="12163" w:h="9115" w:wrap="none" w:vAnchor="page" w:hAnchor="page" w:x="1191" w:y="735"/>
            </w:pPr>
          </w:p>
        </w:tc>
        <w:tc>
          <w:tcPr>
            <w:tcW w:w="0" w:type="auto"/>
            <w:vMerge/>
            <w:tcBorders>
              <w:left w:val="single" w:sz="4" w:space="0" w:color="auto"/>
            </w:tcBorders>
            <w:shd w:val="clear" w:color="auto" w:fill="auto"/>
          </w:tcPr>
          <w:p w14:paraId="6923971F" w14:textId="77777777" w:rsidR="00632C48" w:rsidRPr="009301DF" w:rsidRDefault="00632C48" w:rsidP="005F6F63">
            <w:pPr>
              <w:framePr w:w="12163" w:h="9115" w:wrap="none" w:vAnchor="page" w:hAnchor="page" w:x="1191" w:y="735"/>
            </w:pPr>
          </w:p>
        </w:tc>
        <w:tc>
          <w:tcPr>
            <w:tcW w:w="0" w:type="auto"/>
            <w:vMerge/>
            <w:tcBorders>
              <w:left w:val="single" w:sz="4" w:space="0" w:color="auto"/>
            </w:tcBorders>
            <w:shd w:val="clear" w:color="auto" w:fill="auto"/>
          </w:tcPr>
          <w:p w14:paraId="156979A6" w14:textId="77777777" w:rsidR="00632C48" w:rsidRPr="009301DF" w:rsidRDefault="00632C48" w:rsidP="005F6F63">
            <w:pPr>
              <w:framePr w:w="12163" w:h="9115" w:wrap="none" w:vAnchor="page" w:hAnchor="page" w:x="1191" w:y="735"/>
            </w:pPr>
          </w:p>
        </w:tc>
        <w:tc>
          <w:tcPr>
            <w:tcW w:w="0" w:type="auto"/>
            <w:tcBorders>
              <w:top w:val="single" w:sz="4" w:space="0" w:color="auto"/>
              <w:left w:val="single" w:sz="4" w:space="0" w:color="auto"/>
            </w:tcBorders>
            <w:shd w:val="clear" w:color="auto" w:fill="auto"/>
          </w:tcPr>
          <w:p w14:paraId="0A6C92AD" w14:textId="77777777" w:rsidR="00632C48" w:rsidRPr="009301DF" w:rsidRDefault="005F6F63" w:rsidP="005F6F63">
            <w:pPr>
              <w:pStyle w:val="Inne0"/>
              <w:framePr w:w="12163" w:h="9115" w:wrap="none" w:vAnchor="page" w:hAnchor="page" w:x="1191" w:y="735"/>
              <w:spacing w:after="0"/>
              <w:rPr>
                <w:sz w:val="22"/>
                <w:szCs w:val="22"/>
              </w:rPr>
            </w:pPr>
            <w:r w:rsidRPr="009301DF">
              <w:rPr>
                <w:sz w:val="22"/>
              </w:rPr>
              <w:t>Wsparcie naukowe lub techniczne</w:t>
            </w:r>
          </w:p>
        </w:tc>
        <w:tc>
          <w:tcPr>
            <w:tcW w:w="0" w:type="auto"/>
            <w:tcBorders>
              <w:top w:val="single" w:sz="4" w:space="0" w:color="auto"/>
              <w:left w:val="single" w:sz="4" w:space="0" w:color="auto"/>
              <w:right w:val="single" w:sz="4" w:space="0" w:color="auto"/>
            </w:tcBorders>
            <w:shd w:val="clear" w:color="auto" w:fill="auto"/>
            <w:vAlign w:val="center"/>
          </w:tcPr>
          <w:p w14:paraId="0243A143" w14:textId="77777777" w:rsidR="00632C48" w:rsidRPr="009301DF" w:rsidRDefault="005F6F63">
            <w:pPr>
              <w:pStyle w:val="Inne0"/>
              <w:framePr w:w="12163" w:h="9115" w:wrap="none" w:vAnchor="page" w:hAnchor="page" w:x="1191" w:y="735"/>
              <w:spacing w:after="0"/>
              <w:rPr>
                <w:sz w:val="22"/>
                <w:szCs w:val="22"/>
              </w:rPr>
            </w:pPr>
            <w:r w:rsidRPr="009301DF">
              <w:rPr>
                <w:sz w:val="22"/>
              </w:rPr>
              <w:t>Wewnątrzzakładowe dane walidacyjne</w:t>
            </w:r>
          </w:p>
        </w:tc>
      </w:tr>
      <w:tr w:rsidR="00632C48" w:rsidRPr="009301DF" w14:paraId="5B98078D" w14:textId="77777777" w:rsidTr="00011670">
        <w:trPr>
          <w:trHeight w:hRule="exact" w:val="8425"/>
        </w:trPr>
        <w:tc>
          <w:tcPr>
            <w:tcW w:w="0" w:type="auto"/>
            <w:tcBorders>
              <w:top w:val="single" w:sz="4" w:space="0" w:color="auto"/>
              <w:left w:val="single" w:sz="4" w:space="0" w:color="auto"/>
              <w:bottom w:val="single" w:sz="4" w:space="0" w:color="auto"/>
            </w:tcBorders>
            <w:shd w:val="clear" w:color="auto" w:fill="auto"/>
          </w:tcPr>
          <w:p w14:paraId="25598247" w14:textId="77777777" w:rsidR="00632C48" w:rsidRPr="009301DF" w:rsidRDefault="005F6F63" w:rsidP="005F6F63">
            <w:pPr>
              <w:pStyle w:val="Inne0"/>
              <w:framePr w:w="12163" w:h="9115" w:wrap="none" w:vAnchor="page" w:hAnchor="page" w:x="1191" w:y="735"/>
              <w:spacing w:after="0"/>
            </w:pPr>
            <w:r w:rsidRPr="009301DF">
              <w:t>Paszteciki z mielonego mięsa drobiowego</w:t>
            </w:r>
          </w:p>
        </w:tc>
        <w:tc>
          <w:tcPr>
            <w:tcW w:w="0" w:type="auto"/>
            <w:tcBorders>
              <w:top w:val="single" w:sz="4" w:space="0" w:color="auto"/>
              <w:left w:val="single" w:sz="4" w:space="0" w:color="auto"/>
              <w:bottom w:val="single" w:sz="4" w:space="0" w:color="auto"/>
            </w:tcBorders>
            <w:shd w:val="clear" w:color="auto" w:fill="auto"/>
          </w:tcPr>
          <w:p w14:paraId="75E795C3" w14:textId="77777777" w:rsidR="00632C48" w:rsidRPr="009301DF" w:rsidRDefault="005F6F63" w:rsidP="005F6F63">
            <w:pPr>
              <w:pStyle w:val="Inne0"/>
              <w:framePr w:w="12163" w:h="9115" w:wrap="none" w:vAnchor="page" w:hAnchor="page" w:x="1191" w:y="735"/>
              <w:spacing w:after="0"/>
            </w:pPr>
            <w:r w:rsidRPr="009301DF">
              <w:rPr>
                <w:sz w:val="22"/>
              </w:rPr>
              <w:t xml:space="preserve">Biologiczne - </w:t>
            </w:r>
            <w:r w:rsidRPr="009301DF">
              <w:rPr>
                <w:i/>
              </w:rPr>
              <w:t>Salmonella</w:t>
            </w:r>
          </w:p>
        </w:tc>
        <w:tc>
          <w:tcPr>
            <w:tcW w:w="0" w:type="auto"/>
            <w:tcBorders>
              <w:top w:val="single" w:sz="4" w:space="0" w:color="auto"/>
              <w:left w:val="single" w:sz="4" w:space="0" w:color="auto"/>
              <w:bottom w:val="single" w:sz="4" w:space="0" w:color="auto"/>
            </w:tcBorders>
            <w:shd w:val="clear" w:color="auto" w:fill="auto"/>
          </w:tcPr>
          <w:p w14:paraId="50694DFA" w14:textId="77777777" w:rsidR="00632C48" w:rsidRPr="009301DF" w:rsidRDefault="005F6F63" w:rsidP="005F6F63">
            <w:pPr>
              <w:pStyle w:val="Inne0"/>
              <w:framePr w:w="12163" w:h="9115" w:wrap="none" w:vAnchor="page" w:hAnchor="page" w:x="1191" w:y="735"/>
              <w:spacing w:after="0"/>
            </w:pPr>
            <w:r w:rsidRPr="009301DF">
              <w:t>Zatwierdzone instrukcje gotowania dla konsumentów</w:t>
            </w:r>
          </w:p>
        </w:tc>
        <w:tc>
          <w:tcPr>
            <w:tcW w:w="0" w:type="auto"/>
            <w:tcBorders>
              <w:top w:val="single" w:sz="4" w:space="0" w:color="auto"/>
              <w:left w:val="single" w:sz="4" w:space="0" w:color="auto"/>
              <w:bottom w:val="single" w:sz="4" w:space="0" w:color="auto"/>
            </w:tcBorders>
            <w:shd w:val="clear" w:color="auto" w:fill="auto"/>
          </w:tcPr>
          <w:p w14:paraId="72E15EA3" w14:textId="77777777" w:rsidR="00632C48" w:rsidRPr="009301DF" w:rsidRDefault="005F6F63" w:rsidP="005F6F63">
            <w:pPr>
              <w:pStyle w:val="Inne0"/>
              <w:framePr w:w="12163" w:h="9115" w:wrap="none" w:vAnchor="page" w:hAnchor="page" w:x="1191" w:y="735"/>
              <w:spacing w:after="0"/>
            </w:pPr>
            <w:r w:rsidRPr="009301DF">
              <w:t>Kombinacje czasu i temperatury specyficzne dla różnych metod gotowania (patelnia na kuchence elektrycznej, patelnia na kuchence gazowej, grill gazowy, grill węglowy), średnica i grubość produkowanych pasztecików, skład produkowanych pasztecików (80% chude paszteciki vs 95% chude paszteciki) oraz stan pasztecików podczas gotowania (zamrożone lub rozmrożone).</w:t>
            </w:r>
          </w:p>
        </w:tc>
        <w:tc>
          <w:tcPr>
            <w:tcW w:w="0" w:type="auto"/>
            <w:tcBorders>
              <w:top w:val="single" w:sz="4" w:space="0" w:color="auto"/>
              <w:left w:val="single" w:sz="4" w:space="0" w:color="auto"/>
              <w:bottom w:val="single" w:sz="4" w:space="0" w:color="auto"/>
            </w:tcBorders>
            <w:shd w:val="clear" w:color="auto" w:fill="auto"/>
          </w:tcPr>
          <w:p w14:paraId="4AF885DB" w14:textId="77777777" w:rsidR="00632C48" w:rsidRPr="009301DF" w:rsidRDefault="005F6F63" w:rsidP="005F6F63">
            <w:pPr>
              <w:pStyle w:val="Inne0"/>
              <w:framePr w:w="12163" w:h="9115" w:wrap="none" w:vAnchor="page" w:hAnchor="page" w:x="1191" w:y="735"/>
              <w:spacing w:after="0"/>
            </w:pPr>
            <w:r w:rsidRPr="009301DF">
              <w:t xml:space="preserve">FSIS. 1999. </w:t>
            </w:r>
            <w:r w:rsidRPr="009301DF">
              <w:rPr>
                <w:i/>
              </w:rPr>
              <w:t>Dodatek A do Wytycznych dotyczących zgodności w zakresie spełniania norm śmiertelności dla niektórych produktów mięsnych i drobiowych.</w:t>
            </w:r>
          </w:p>
          <w:p w14:paraId="3B33F91A" w14:textId="77777777" w:rsidR="00632C48" w:rsidRPr="009301DF" w:rsidRDefault="005F6F63" w:rsidP="005F6F63">
            <w:pPr>
              <w:pStyle w:val="Inne0"/>
              <w:framePr w:w="12163" w:h="9115" w:wrap="none" w:vAnchor="page" w:hAnchor="page" w:x="1191" w:y="735"/>
              <w:spacing w:after="0"/>
            </w:pPr>
            <w:r w:rsidRPr="009301DF">
              <w:t>Dostępne pod linkiem:</w:t>
            </w:r>
          </w:p>
          <w:p w14:paraId="53E82C6A" w14:textId="77777777" w:rsidR="00632C48" w:rsidRPr="009301DF" w:rsidRDefault="005F6F63" w:rsidP="005F6F63">
            <w:pPr>
              <w:pStyle w:val="Inne0"/>
              <w:framePr w:w="12163" w:h="9115" w:wrap="none" w:vAnchor="page" w:hAnchor="page" w:x="1191" w:y="735"/>
            </w:pPr>
            <w:hyperlink r:id="rId76" w:history="1">
              <w:r w:rsidRPr="009301DF">
                <w:t>http://www.fsis.usda.gov/wp</w:t>
              </w:r>
            </w:hyperlink>
            <w:r w:rsidRPr="009301DF">
              <w:t xml:space="preserve"> s/wcm/connect/212e40b3- b59d-43aa-882e- e5431ea7035f/95033F- a.pdf?MOD=AJPERES.</w:t>
            </w:r>
          </w:p>
          <w:p w14:paraId="0CFCD3C6" w14:textId="77777777" w:rsidR="00632C48" w:rsidRPr="009301DF" w:rsidRDefault="005F6F63" w:rsidP="005F6F63">
            <w:pPr>
              <w:pStyle w:val="Inne0"/>
              <w:framePr w:w="12163" w:h="9115" w:wrap="none" w:vAnchor="page" w:hAnchor="page" w:x="1191" w:y="735"/>
              <w:spacing w:after="0"/>
            </w:pPr>
            <w:r w:rsidRPr="009301DF">
              <w:t>Próby gotowania w oparciu o kombinację czasu i temperatury wybraną z Dodatku A można przeprowadzić przy użyciu różnych instrukcji gotowania podanych na etykiecie.</w:t>
            </w:r>
          </w:p>
          <w:p w14:paraId="5A5510AB" w14:textId="77777777" w:rsidR="00632C48" w:rsidRPr="009301DF" w:rsidRDefault="005F6F63" w:rsidP="005F6F63">
            <w:pPr>
              <w:pStyle w:val="Inne0"/>
              <w:framePr w:w="12163" w:h="9115" w:wrap="none" w:vAnchor="page" w:hAnchor="page" w:x="1191" w:y="735"/>
              <w:spacing w:after="0"/>
            </w:pPr>
            <w:r w:rsidRPr="009301DF">
              <w:t>Próby gotowania powinny dotyczyć pasztecików o największej grubości i średnicy, ponieważ będą one wymagały najwięcej czasu do osiągnięcia pożądanej temperatury końcowej.</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6D63BD" w14:textId="77777777" w:rsidR="00632C48" w:rsidRPr="009301DF" w:rsidRDefault="005F6F63">
            <w:pPr>
              <w:pStyle w:val="Inne0"/>
              <w:framePr w:w="12163" w:h="9115" w:wrap="none" w:vAnchor="page" w:hAnchor="page" w:x="1191" w:y="735"/>
              <w:spacing w:after="0"/>
            </w:pPr>
            <w:r w:rsidRPr="009301DF">
              <w:t>Zapisy z monitorowania zakładu za okres 90 dni, które wykazują, że zakład wytwarza produkty o grubości, średnicy, poziomie tłuszczu i stanie, dla których zatwierdzono instrukcje.</w:t>
            </w:r>
          </w:p>
        </w:tc>
      </w:tr>
    </w:tbl>
    <w:p w14:paraId="72668768"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6265A328"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154"/>
        <w:gridCol w:w="1447"/>
        <w:gridCol w:w="1598"/>
        <w:gridCol w:w="1604"/>
        <w:gridCol w:w="4144"/>
        <w:gridCol w:w="3267"/>
      </w:tblGrid>
      <w:tr w:rsidR="00632C48" w:rsidRPr="009301DF" w14:paraId="2577FD90" w14:textId="77777777" w:rsidTr="00011670">
        <w:trPr>
          <w:trHeight w:hRule="exact" w:val="423"/>
        </w:trPr>
        <w:tc>
          <w:tcPr>
            <w:tcW w:w="5000" w:type="pct"/>
            <w:gridSpan w:val="6"/>
            <w:shd w:val="clear" w:color="auto" w:fill="auto"/>
          </w:tcPr>
          <w:p w14:paraId="70311177" w14:textId="77777777" w:rsidR="00632C48" w:rsidRPr="009301DF" w:rsidRDefault="005F6F63" w:rsidP="002F0761">
            <w:pPr>
              <w:pStyle w:val="Inne0"/>
              <w:framePr w:w="13214" w:h="9466" w:wrap="none" w:vAnchor="page" w:hAnchor="page" w:x="761" w:y="416"/>
              <w:spacing w:after="0"/>
            </w:pPr>
            <w:r w:rsidRPr="009301DF">
              <w:t>Wyłącznie do celów ilustracyjnych</w:t>
            </w:r>
          </w:p>
        </w:tc>
      </w:tr>
      <w:tr w:rsidR="007C1C8A" w:rsidRPr="009301DF" w14:paraId="70B1F538" w14:textId="77777777" w:rsidTr="00011670">
        <w:trPr>
          <w:trHeight w:hRule="exact" w:val="521"/>
        </w:trPr>
        <w:tc>
          <w:tcPr>
            <w:tcW w:w="436" w:type="pct"/>
            <w:vMerge w:val="restart"/>
            <w:tcBorders>
              <w:top w:val="single" w:sz="4" w:space="0" w:color="auto"/>
              <w:left w:val="single" w:sz="4" w:space="0" w:color="auto"/>
            </w:tcBorders>
            <w:shd w:val="clear" w:color="auto" w:fill="auto"/>
          </w:tcPr>
          <w:p w14:paraId="0747568E" w14:textId="77777777" w:rsidR="00632C48" w:rsidRPr="009301DF" w:rsidRDefault="005F6F63" w:rsidP="00011670">
            <w:pPr>
              <w:pStyle w:val="Inne0"/>
              <w:framePr w:w="13214" w:h="9466" w:wrap="none" w:vAnchor="page" w:hAnchor="page" w:x="761" w:y="416"/>
              <w:spacing w:after="0"/>
            </w:pPr>
            <w:r w:rsidRPr="009301DF">
              <w:t>Produkt</w:t>
            </w:r>
          </w:p>
        </w:tc>
        <w:tc>
          <w:tcPr>
            <w:tcW w:w="548" w:type="pct"/>
            <w:vMerge w:val="restart"/>
            <w:tcBorders>
              <w:top w:val="single" w:sz="4" w:space="0" w:color="auto"/>
              <w:left w:val="single" w:sz="4" w:space="0" w:color="auto"/>
            </w:tcBorders>
            <w:shd w:val="clear" w:color="auto" w:fill="auto"/>
          </w:tcPr>
          <w:p w14:paraId="56D045E0" w14:textId="77777777" w:rsidR="00632C48" w:rsidRPr="009301DF" w:rsidRDefault="005F6F63" w:rsidP="00011670">
            <w:pPr>
              <w:pStyle w:val="Inne0"/>
              <w:framePr w:w="13214" w:h="9466" w:wrap="none" w:vAnchor="page" w:hAnchor="page" w:x="761" w:y="416"/>
              <w:spacing w:after="0"/>
            </w:pPr>
            <w:r w:rsidRPr="009301DF">
              <w:t>Zagrożenie:</w:t>
            </w:r>
          </w:p>
        </w:tc>
        <w:tc>
          <w:tcPr>
            <w:tcW w:w="605" w:type="pct"/>
            <w:vMerge w:val="restart"/>
            <w:tcBorders>
              <w:top w:val="single" w:sz="4" w:space="0" w:color="auto"/>
              <w:left w:val="single" w:sz="4" w:space="0" w:color="auto"/>
            </w:tcBorders>
            <w:shd w:val="clear" w:color="auto" w:fill="auto"/>
          </w:tcPr>
          <w:p w14:paraId="0F15765F" w14:textId="77777777" w:rsidR="00632C48" w:rsidRPr="009301DF" w:rsidRDefault="005F6F63" w:rsidP="00011670">
            <w:pPr>
              <w:pStyle w:val="Inne0"/>
              <w:framePr w:w="13214" w:h="9466" w:wrap="none" w:vAnchor="page" w:hAnchor="page" w:x="761" w:y="416"/>
              <w:spacing w:after="0"/>
            </w:pPr>
            <w:r w:rsidRPr="009301DF">
              <w:t>Proces</w:t>
            </w:r>
          </w:p>
        </w:tc>
        <w:tc>
          <w:tcPr>
            <w:tcW w:w="607" w:type="pct"/>
            <w:vMerge w:val="restart"/>
            <w:tcBorders>
              <w:top w:val="single" w:sz="4" w:space="0" w:color="auto"/>
              <w:left w:val="single" w:sz="4" w:space="0" w:color="auto"/>
            </w:tcBorders>
            <w:shd w:val="clear" w:color="auto" w:fill="auto"/>
          </w:tcPr>
          <w:p w14:paraId="5EB830DB" w14:textId="4508816A" w:rsidR="00632C48" w:rsidRPr="009301DF" w:rsidRDefault="005F6F63" w:rsidP="00011670">
            <w:pPr>
              <w:pStyle w:val="Inne0"/>
              <w:framePr w:w="13214" w:h="9466" w:wrap="none" w:vAnchor="page" w:hAnchor="page" w:x="761" w:y="416"/>
              <w:spacing w:after="0"/>
            </w:pPr>
            <w:r w:rsidRPr="009301DF">
              <w:t>Krytyczne parametry operacyjne</w:t>
            </w:r>
          </w:p>
        </w:tc>
        <w:tc>
          <w:tcPr>
            <w:tcW w:w="2803" w:type="pct"/>
            <w:gridSpan w:val="2"/>
            <w:tcBorders>
              <w:top w:val="single" w:sz="4" w:space="0" w:color="auto"/>
              <w:left w:val="single" w:sz="4" w:space="0" w:color="auto"/>
              <w:right w:val="single" w:sz="4" w:space="0" w:color="auto"/>
            </w:tcBorders>
            <w:shd w:val="clear" w:color="auto" w:fill="auto"/>
          </w:tcPr>
          <w:p w14:paraId="5B3739D1" w14:textId="77777777" w:rsidR="00632C48" w:rsidRPr="009301DF" w:rsidRDefault="005F6F63" w:rsidP="00011670">
            <w:pPr>
              <w:pStyle w:val="Inne0"/>
              <w:framePr w:w="13214" w:h="9466" w:wrap="none" w:vAnchor="page" w:hAnchor="page" w:x="761" w:y="416"/>
              <w:spacing w:after="0"/>
            </w:pPr>
            <w:r w:rsidRPr="009301DF">
              <w:t>Potwierdzenie</w:t>
            </w:r>
          </w:p>
        </w:tc>
      </w:tr>
      <w:tr w:rsidR="007C1C8A" w:rsidRPr="009301DF" w14:paraId="7A2F6F8C" w14:textId="77777777" w:rsidTr="00011670">
        <w:trPr>
          <w:trHeight w:hRule="exact" w:val="714"/>
        </w:trPr>
        <w:tc>
          <w:tcPr>
            <w:tcW w:w="436" w:type="pct"/>
            <w:vMerge/>
            <w:tcBorders>
              <w:left w:val="single" w:sz="4" w:space="0" w:color="auto"/>
            </w:tcBorders>
            <w:shd w:val="clear" w:color="auto" w:fill="auto"/>
          </w:tcPr>
          <w:p w14:paraId="76194D91" w14:textId="77777777" w:rsidR="00632C48" w:rsidRPr="009301DF" w:rsidRDefault="00632C48" w:rsidP="00011670">
            <w:pPr>
              <w:framePr w:w="13214" w:h="9466" w:wrap="none" w:vAnchor="page" w:hAnchor="page" w:x="761" w:y="416"/>
            </w:pPr>
          </w:p>
        </w:tc>
        <w:tc>
          <w:tcPr>
            <w:tcW w:w="548" w:type="pct"/>
            <w:vMerge/>
            <w:tcBorders>
              <w:left w:val="single" w:sz="4" w:space="0" w:color="auto"/>
            </w:tcBorders>
            <w:shd w:val="clear" w:color="auto" w:fill="auto"/>
          </w:tcPr>
          <w:p w14:paraId="43C1A6FE" w14:textId="77777777" w:rsidR="00632C48" w:rsidRPr="009301DF" w:rsidRDefault="00632C48" w:rsidP="00011670">
            <w:pPr>
              <w:framePr w:w="13214" w:h="9466" w:wrap="none" w:vAnchor="page" w:hAnchor="page" w:x="761" w:y="416"/>
            </w:pPr>
          </w:p>
        </w:tc>
        <w:tc>
          <w:tcPr>
            <w:tcW w:w="605" w:type="pct"/>
            <w:vMerge/>
            <w:tcBorders>
              <w:left w:val="single" w:sz="4" w:space="0" w:color="auto"/>
            </w:tcBorders>
            <w:shd w:val="clear" w:color="auto" w:fill="auto"/>
          </w:tcPr>
          <w:p w14:paraId="773026BA" w14:textId="77777777" w:rsidR="00632C48" w:rsidRPr="009301DF" w:rsidRDefault="00632C48" w:rsidP="00011670">
            <w:pPr>
              <w:framePr w:w="13214" w:h="9466" w:wrap="none" w:vAnchor="page" w:hAnchor="page" w:x="761" w:y="416"/>
            </w:pPr>
          </w:p>
        </w:tc>
        <w:tc>
          <w:tcPr>
            <w:tcW w:w="607" w:type="pct"/>
            <w:vMerge/>
            <w:tcBorders>
              <w:left w:val="single" w:sz="4" w:space="0" w:color="auto"/>
            </w:tcBorders>
            <w:shd w:val="clear" w:color="auto" w:fill="auto"/>
          </w:tcPr>
          <w:p w14:paraId="0D4AA037" w14:textId="77777777" w:rsidR="00632C48" w:rsidRPr="009301DF" w:rsidRDefault="00632C48" w:rsidP="00011670">
            <w:pPr>
              <w:framePr w:w="13214" w:h="9466" w:wrap="none" w:vAnchor="page" w:hAnchor="page" w:x="761" w:y="416"/>
            </w:pPr>
          </w:p>
        </w:tc>
        <w:tc>
          <w:tcPr>
            <w:tcW w:w="1568" w:type="pct"/>
            <w:tcBorders>
              <w:top w:val="single" w:sz="4" w:space="0" w:color="auto"/>
              <w:left w:val="single" w:sz="4" w:space="0" w:color="auto"/>
            </w:tcBorders>
            <w:shd w:val="clear" w:color="auto" w:fill="auto"/>
          </w:tcPr>
          <w:p w14:paraId="02F10E2A" w14:textId="77777777" w:rsidR="00632C48" w:rsidRPr="009301DF" w:rsidRDefault="005F6F63" w:rsidP="00011670">
            <w:pPr>
              <w:pStyle w:val="Inne0"/>
              <w:framePr w:w="13214" w:h="9466" w:wrap="none" w:vAnchor="page" w:hAnchor="page" w:x="761" w:y="416"/>
              <w:spacing w:after="0"/>
              <w:rPr>
                <w:sz w:val="22"/>
                <w:szCs w:val="22"/>
              </w:rPr>
            </w:pPr>
            <w:r w:rsidRPr="009301DF">
              <w:rPr>
                <w:sz w:val="22"/>
              </w:rPr>
              <w:t>Wsparcie naukowe lub techniczne</w:t>
            </w:r>
          </w:p>
        </w:tc>
        <w:tc>
          <w:tcPr>
            <w:tcW w:w="1236" w:type="pct"/>
            <w:tcBorders>
              <w:top w:val="single" w:sz="4" w:space="0" w:color="auto"/>
              <w:left w:val="single" w:sz="4" w:space="0" w:color="auto"/>
              <w:right w:val="single" w:sz="4" w:space="0" w:color="auto"/>
            </w:tcBorders>
            <w:shd w:val="clear" w:color="auto" w:fill="auto"/>
          </w:tcPr>
          <w:p w14:paraId="74B90CDD" w14:textId="77777777" w:rsidR="00632C48" w:rsidRPr="009301DF" w:rsidRDefault="005F6F63" w:rsidP="00011670">
            <w:pPr>
              <w:pStyle w:val="Inne0"/>
              <w:framePr w:w="13214" w:h="9466" w:wrap="none" w:vAnchor="page" w:hAnchor="page" w:x="761" w:y="416"/>
              <w:spacing w:after="0"/>
              <w:rPr>
                <w:sz w:val="22"/>
                <w:szCs w:val="22"/>
              </w:rPr>
            </w:pPr>
            <w:r w:rsidRPr="009301DF">
              <w:rPr>
                <w:sz w:val="22"/>
              </w:rPr>
              <w:t>Wewnątrzzakładowe dane walidacyjne</w:t>
            </w:r>
          </w:p>
        </w:tc>
      </w:tr>
      <w:tr w:rsidR="007C1C8A" w:rsidRPr="009301DF" w14:paraId="2DEDFE4D" w14:textId="77777777" w:rsidTr="00011670">
        <w:trPr>
          <w:trHeight w:hRule="exact" w:val="4988"/>
        </w:trPr>
        <w:tc>
          <w:tcPr>
            <w:tcW w:w="436" w:type="pct"/>
            <w:tcBorders>
              <w:top w:val="single" w:sz="4" w:space="0" w:color="auto"/>
              <w:left w:val="single" w:sz="4" w:space="0" w:color="auto"/>
            </w:tcBorders>
            <w:shd w:val="clear" w:color="auto" w:fill="auto"/>
          </w:tcPr>
          <w:p w14:paraId="4617165A" w14:textId="7D075D61" w:rsidR="00632C48" w:rsidRPr="009301DF" w:rsidRDefault="005F6F63" w:rsidP="00011670">
            <w:pPr>
              <w:pStyle w:val="Inne0"/>
              <w:framePr w:w="13214" w:h="9466" w:wrap="none" w:vAnchor="page" w:hAnchor="page" w:x="761" w:y="416"/>
              <w:spacing w:after="0"/>
            </w:pPr>
            <w:r w:rsidRPr="009301DF">
              <w:t>Tusza wieprzowa</w:t>
            </w:r>
          </w:p>
        </w:tc>
        <w:tc>
          <w:tcPr>
            <w:tcW w:w="548" w:type="pct"/>
            <w:tcBorders>
              <w:top w:val="single" w:sz="4" w:space="0" w:color="auto"/>
              <w:left w:val="single" w:sz="4" w:space="0" w:color="auto"/>
            </w:tcBorders>
            <w:shd w:val="clear" w:color="auto" w:fill="auto"/>
          </w:tcPr>
          <w:p w14:paraId="7EC166BD" w14:textId="77777777" w:rsidR="00632C48" w:rsidRPr="009301DF" w:rsidRDefault="005F6F63" w:rsidP="00011670">
            <w:pPr>
              <w:pStyle w:val="Inne0"/>
              <w:framePr w:w="13214" w:h="9466" w:wrap="none" w:vAnchor="page" w:hAnchor="page" w:x="761" w:y="416"/>
              <w:spacing w:after="0"/>
            </w:pPr>
            <w:r w:rsidRPr="009301DF">
              <w:rPr>
                <w:sz w:val="22"/>
              </w:rPr>
              <w:t xml:space="preserve">Biologiczne - </w:t>
            </w:r>
            <w:r w:rsidRPr="009301DF">
              <w:rPr>
                <w:i/>
              </w:rPr>
              <w:t>Salmonella</w:t>
            </w:r>
          </w:p>
        </w:tc>
        <w:tc>
          <w:tcPr>
            <w:tcW w:w="605" w:type="pct"/>
            <w:tcBorders>
              <w:top w:val="single" w:sz="4" w:space="0" w:color="auto"/>
              <w:left w:val="single" w:sz="4" w:space="0" w:color="auto"/>
            </w:tcBorders>
            <w:shd w:val="clear" w:color="auto" w:fill="auto"/>
          </w:tcPr>
          <w:p w14:paraId="5C8F5E04" w14:textId="77777777" w:rsidR="00632C48" w:rsidRPr="009301DF" w:rsidRDefault="005F6F63" w:rsidP="00011670">
            <w:pPr>
              <w:pStyle w:val="Inne0"/>
              <w:framePr w:w="13214" w:h="9466" w:wrap="none" w:vAnchor="page" w:hAnchor="page" w:x="761" w:y="416"/>
              <w:spacing w:after="0"/>
            </w:pPr>
            <w:r w:rsidRPr="009301DF">
              <w:t>Gabinet natryskowy z gorącym kwasem mlekowym</w:t>
            </w:r>
          </w:p>
        </w:tc>
        <w:tc>
          <w:tcPr>
            <w:tcW w:w="607" w:type="pct"/>
            <w:tcBorders>
              <w:top w:val="single" w:sz="4" w:space="0" w:color="auto"/>
              <w:left w:val="single" w:sz="4" w:space="0" w:color="auto"/>
            </w:tcBorders>
            <w:shd w:val="clear" w:color="auto" w:fill="auto"/>
          </w:tcPr>
          <w:p w14:paraId="031694F3" w14:textId="77777777" w:rsidR="00632C48" w:rsidRPr="009301DF" w:rsidRDefault="005F6F63" w:rsidP="00011670">
            <w:pPr>
              <w:pStyle w:val="Inne0"/>
              <w:framePr w:w="13214" w:h="9466" w:wrap="none" w:vAnchor="page" w:hAnchor="page" w:x="761" w:y="416"/>
            </w:pPr>
            <w:r w:rsidRPr="009301DF">
              <w:t>Co najmniej 2% roztwór kwasu mlekowego w temperaturze 55°C (131°F) przez ponad 60 sekund i pod ciśnieniem 13-23 psi.</w:t>
            </w:r>
          </w:p>
          <w:p w14:paraId="145CEB6C" w14:textId="77777777" w:rsidR="00632C48" w:rsidRPr="009301DF" w:rsidRDefault="005F6F63" w:rsidP="00011670">
            <w:pPr>
              <w:pStyle w:val="Inne0"/>
              <w:framePr w:w="13214" w:h="9466" w:wrap="none" w:vAnchor="page" w:hAnchor="page" w:x="761" w:y="416"/>
              <w:spacing w:after="0"/>
            </w:pPr>
            <w:r w:rsidRPr="009301DF">
              <w:t>Pełne pokrycie tuszy.</w:t>
            </w:r>
          </w:p>
        </w:tc>
        <w:tc>
          <w:tcPr>
            <w:tcW w:w="1568" w:type="pct"/>
            <w:tcBorders>
              <w:top w:val="single" w:sz="4" w:space="0" w:color="auto"/>
              <w:left w:val="single" w:sz="4" w:space="0" w:color="auto"/>
            </w:tcBorders>
            <w:shd w:val="clear" w:color="auto" w:fill="auto"/>
          </w:tcPr>
          <w:p w14:paraId="4BC04A1B" w14:textId="2C045F57" w:rsidR="00632C48" w:rsidRPr="00540146" w:rsidRDefault="005F6F63" w:rsidP="00011670">
            <w:pPr>
              <w:pStyle w:val="Inne0"/>
              <w:framePr w:w="13214" w:h="9466" w:wrap="none" w:vAnchor="page" w:hAnchor="page" w:x="761" w:y="416"/>
              <w:rPr>
                <w:lang w:val="en-US"/>
              </w:rPr>
            </w:pPr>
            <w:r w:rsidRPr="009301DF">
              <w:t>Van Netten. P., D. A. Mossel i J. Huis In't Veld. 1995 Odkażanie kwasem mlekowym świeżych tusz wieprzowych: badanie pilotażowe (</w:t>
            </w:r>
            <w:r w:rsidRPr="009301DF">
              <w:rPr>
                <w:i/>
                <w:iCs/>
              </w:rPr>
              <w:t>Lactic acid decontamination of fresh pork carcasses: a pilot plant stud</w:t>
            </w:r>
            <w:r w:rsidRPr="009301DF">
              <w:t xml:space="preserve">y). </w:t>
            </w:r>
            <w:r w:rsidRPr="00540146">
              <w:rPr>
                <w:i/>
                <w:lang w:val="en-US"/>
              </w:rPr>
              <w:t>Int. J. Food Micro.</w:t>
            </w:r>
            <w:r w:rsidRPr="00540146">
              <w:rPr>
                <w:lang w:val="en-US"/>
              </w:rPr>
              <w:t xml:space="preserve"> 5: 1-9.</w:t>
            </w:r>
          </w:p>
          <w:p w14:paraId="17564ED4" w14:textId="708DF1D3" w:rsidR="00632C48" w:rsidRPr="009301DF" w:rsidRDefault="005F6F63" w:rsidP="00011670">
            <w:pPr>
              <w:pStyle w:val="Inne0"/>
              <w:framePr w:w="13214" w:h="9466" w:wrap="none" w:vAnchor="page" w:hAnchor="page" w:x="761" w:y="416"/>
              <w:spacing w:after="0"/>
            </w:pPr>
            <w:r w:rsidRPr="00540146">
              <w:rPr>
                <w:lang w:val="en-US"/>
              </w:rPr>
              <w:t>Dormedy, E.S., M.M. Brashears, C.N. Cutter oraz D.E. Burson. 2000 Walidacja płukania kwasem jako krytyczne punkty kontroli w Systemach Analizy Zagrożeń i Krytycznych Punków Kontroli (</w:t>
            </w:r>
            <w:r w:rsidRPr="00540146">
              <w:rPr>
                <w:i/>
                <w:iCs/>
                <w:lang w:val="en-US"/>
              </w:rPr>
              <w:t>2000 Validation of acid washes as critical control points in hazard analysis and critical control point systems</w:t>
            </w:r>
            <w:r w:rsidRPr="00540146">
              <w:rPr>
                <w:lang w:val="en-US"/>
              </w:rPr>
              <w:t xml:space="preserve">). </w:t>
            </w:r>
            <w:r w:rsidRPr="009301DF">
              <w:rPr>
                <w:i/>
              </w:rPr>
              <w:t>J. Food Prot.</w:t>
            </w:r>
            <w:r w:rsidRPr="009301DF">
              <w:t xml:space="preserve"> 63-1676-1680</w:t>
            </w:r>
          </w:p>
          <w:p w14:paraId="651AC74C" w14:textId="77777777" w:rsidR="00632C48" w:rsidRPr="009301DF" w:rsidRDefault="005F6F63" w:rsidP="00011670">
            <w:pPr>
              <w:pStyle w:val="Inne0"/>
              <w:framePr w:w="13214" w:h="9466" w:wrap="none" w:vAnchor="page" w:hAnchor="page" w:x="761" w:y="416"/>
            </w:pPr>
            <w:r w:rsidRPr="009301DF">
              <w:t>Dyrektywa FSIS 7120.1</w:t>
            </w:r>
          </w:p>
        </w:tc>
        <w:tc>
          <w:tcPr>
            <w:tcW w:w="1236" w:type="pct"/>
            <w:tcBorders>
              <w:top w:val="single" w:sz="4" w:space="0" w:color="auto"/>
              <w:left w:val="single" w:sz="4" w:space="0" w:color="auto"/>
              <w:right w:val="single" w:sz="4" w:space="0" w:color="auto"/>
            </w:tcBorders>
            <w:shd w:val="clear" w:color="auto" w:fill="auto"/>
          </w:tcPr>
          <w:p w14:paraId="4F5C95DC" w14:textId="77777777" w:rsidR="00632C48" w:rsidRPr="009301DF" w:rsidRDefault="005F6F63" w:rsidP="00011670">
            <w:pPr>
              <w:pStyle w:val="Inne0"/>
              <w:framePr w:w="13214" w:h="9466" w:wrap="none" w:vAnchor="page" w:hAnchor="page" w:x="761" w:y="416"/>
              <w:spacing w:after="0"/>
            </w:pPr>
            <w:r w:rsidRPr="009301DF">
              <w:t>Zapisy z monitoringu w zakładzie za okres 90 dni zapisane w Arkuszu Kontrolnym Monitorowania Komory Opryskiwacza (w tym parametry temperatury wody i ciśnienia wody), zapisy stężenia kwasu mlekowego i Raporty z Prób przeprowadzone przy określonych parametrach krytycznych wykazujące całkowite pokrycie tuszy opryskiem oraz temperaturę oprysku przy tuszy.</w:t>
            </w:r>
          </w:p>
        </w:tc>
      </w:tr>
      <w:tr w:rsidR="007C1C8A" w:rsidRPr="009301DF" w14:paraId="2E5680C4" w14:textId="77777777" w:rsidTr="00011670">
        <w:trPr>
          <w:trHeight w:hRule="exact" w:val="4647"/>
        </w:trPr>
        <w:tc>
          <w:tcPr>
            <w:tcW w:w="436" w:type="pct"/>
            <w:tcBorders>
              <w:top w:val="single" w:sz="4" w:space="0" w:color="auto"/>
              <w:left w:val="single" w:sz="4" w:space="0" w:color="auto"/>
              <w:bottom w:val="single" w:sz="4" w:space="0" w:color="auto"/>
            </w:tcBorders>
            <w:shd w:val="clear" w:color="auto" w:fill="auto"/>
          </w:tcPr>
          <w:p w14:paraId="56BAD224" w14:textId="05BAC3D6" w:rsidR="00632C48" w:rsidRPr="009301DF" w:rsidRDefault="005F6F63" w:rsidP="00011670">
            <w:pPr>
              <w:pStyle w:val="Inne0"/>
              <w:framePr w:w="13214" w:h="9466" w:wrap="none" w:vAnchor="page" w:hAnchor="page" w:x="761" w:y="416"/>
              <w:spacing w:after="0"/>
            </w:pPr>
            <w:r w:rsidRPr="009301DF">
              <w:t>Tusza wieprzowa</w:t>
            </w:r>
          </w:p>
        </w:tc>
        <w:tc>
          <w:tcPr>
            <w:tcW w:w="548" w:type="pct"/>
            <w:tcBorders>
              <w:top w:val="single" w:sz="4" w:space="0" w:color="auto"/>
              <w:left w:val="single" w:sz="4" w:space="0" w:color="auto"/>
              <w:bottom w:val="single" w:sz="4" w:space="0" w:color="auto"/>
            </w:tcBorders>
            <w:shd w:val="clear" w:color="auto" w:fill="auto"/>
          </w:tcPr>
          <w:p w14:paraId="581C90A2" w14:textId="77777777" w:rsidR="00632C48" w:rsidRPr="009301DF" w:rsidRDefault="005F6F63" w:rsidP="00011670">
            <w:pPr>
              <w:pStyle w:val="Inne0"/>
              <w:framePr w:w="13214" w:h="9466" w:wrap="none" w:vAnchor="page" w:hAnchor="page" w:x="761" w:y="416"/>
              <w:spacing w:after="0"/>
            </w:pPr>
            <w:r w:rsidRPr="009301DF">
              <w:rPr>
                <w:sz w:val="22"/>
              </w:rPr>
              <w:t xml:space="preserve">Biologiczne - </w:t>
            </w:r>
            <w:r w:rsidRPr="009301DF">
              <w:rPr>
                <w:i/>
              </w:rPr>
              <w:t>Salmonella</w:t>
            </w:r>
          </w:p>
        </w:tc>
        <w:tc>
          <w:tcPr>
            <w:tcW w:w="605" w:type="pct"/>
            <w:tcBorders>
              <w:top w:val="single" w:sz="4" w:space="0" w:color="auto"/>
              <w:left w:val="single" w:sz="4" w:space="0" w:color="auto"/>
              <w:bottom w:val="single" w:sz="4" w:space="0" w:color="auto"/>
            </w:tcBorders>
            <w:shd w:val="clear" w:color="auto" w:fill="auto"/>
          </w:tcPr>
          <w:p w14:paraId="5AE583B9" w14:textId="77777777" w:rsidR="00632C48" w:rsidRPr="009301DF" w:rsidRDefault="005F6F63" w:rsidP="00011670">
            <w:pPr>
              <w:pStyle w:val="Inne0"/>
              <w:framePr w:w="13214" w:h="9466" w:wrap="none" w:vAnchor="page" w:hAnchor="page" w:x="761" w:y="416"/>
              <w:spacing w:after="0"/>
            </w:pPr>
            <w:r w:rsidRPr="009301DF">
              <w:t>Oparzanie</w:t>
            </w:r>
          </w:p>
        </w:tc>
        <w:tc>
          <w:tcPr>
            <w:tcW w:w="607" w:type="pct"/>
            <w:tcBorders>
              <w:top w:val="single" w:sz="4" w:space="0" w:color="auto"/>
              <w:left w:val="single" w:sz="4" w:space="0" w:color="auto"/>
              <w:bottom w:val="single" w:sz="4" w:space="0" w:color="auto"/>
            </w:tcBorders>
            <w:shd w:val="clear" w:color="auto" w:fill="auto"/>
          </w:tcPr>
          <w:p w14:paraId="31FB2720" w14:textId="77777777" w:rsidR="00632C48" w:rsidRPr="009301DF" w:rsidRDefault="005F6F63" w:rsidP="00011670">
            <w:pPr>
              <w:pStyle w:val="Inne0"/>
              <w:framePr w:w="13214" w:h="9466" w:wrap="none" w:vAnchor="page" w:hAnchor="page" w:x="761" w:y="416"/>
            </w:pPr>
            <w:r w:rsidRPr="009301DF">
              <w:t>Oparzanie w wodzie o temperaturze 62°C (145°F) przez 5 minut.</w:t>
            </w:r>
          </w:p>
          <w:p w14:paraId="0B18C514" w14:textId="77777777" w:rsidR="00632C48" w:rsidRPr="009301DF" w:rsidRDefault="005F6F63" w:rsidP="00011670">
            <w:pPr>
              <w:pStyle w:val="Inne0"/>
              <w:framePr w:w="13214" w:h="9466" w:wrap="none" w:vAnchor="page" w:hAnchor="page" w:x="761" w:y="416"/>
              <w:spacing w:after="0"/>
            </w:pPr>
            <w:r w:rsidRPr="009301DF">
              <w:t>Pełne pokrycie tuszy.</w:t>
            </w:r>
          </w:p>
        </w:tc>
        <w:tc>
          <w:tcPr>
            <w:tcW w:w="1568" w:type="pct"/>
            <w:tcBorders>
              <w:top w:val="single" w:sz="4" w:space="0" w:color="auto"/>
              <w:left w:val="single" w:sz="4" w:space="0" w:color="auto"/>
              <w:bottom w:val="single" w:sz="4" w:space="0" w:color="auto"/>
            </w:tcBorders>
            <w:shd w:val="clear" w:color="auto" w:fill="auto"/>
          </w:tcPr>
          <w:p w14:paraId="504D4A8F" w14:textId="77777777" w:rsidR="00632C48" w:rsidRPr="00540146" w:rsidRDefault="005F6F63" w:rsidP="00011670">
            <w:pPr>
              <w:pStyle w:val="Inne0"/>
              <w:framePr w:w="13214" w:h="9466" w:wrap="none" w:vAnchor="page" w:hAnchor="page" w:x="761" w:y="416"/>
              <w:rPr>
                <w:lang w:val="nb-NO"/>
              </w:rPr>
            </w:pPr>
            <w:r w:rsidRPr="00540146">
              <w:rPr>
                <w:lang w:val="nb-NO"/>
              </w:rPr>
              <w:t xml:space="preserve">Gill, C.O. i J. Bryant. 1993. Obecność bakterii </w:t>
            </w:r>
            <w:r w:rsidRPr="00540146">
              <w:rPr>
                <w:i/>
                <w:lang w:val="nb-NO"/>
              </w:rPr>
              <w:t>Escherichia coli, Salmonella</w:t>
            </w:r>
            <w:r w:rsidRPr="00540146">
              <w:rPr>
                <w:lang w:val="nb-NO"/>
              </w:rPr>
              <w:t xml:space="preserve"> i </w:t>
            </w:r>
            <w:r w:rsidRPr="00540146">
              <w:rPr>
                <w:i/>
                <w:lang w:val="nb-NO"/>
              </w:rPr>
              <w:t>Campylobacter</w:t>
            </w:r>
            <w:r w:rsidRPr="00540146">
              <w:rPr>
                <w:lang w:val="nb-NO"/>
              </w:rPr>
              <w:t xml:space="preserve"> w urządzeniach do suszenia tusz wieprzowych (</w:t>
            </w:r>
            <w:r w:rsidRPr="00540146">
              <w:rPr>
                <w:i/>
                <w:iCs/>
                <w:lang w:val="nb-NO"/>
              </w:rPr>
              <w:t>The presence of Escherichia coli, Salmonella, and Campylobacter in pig carcass dehairing equipment</w:t>
            </w:r>
            <w:r w:rsidRPr="00540146">
              <w:rPr>
                <w:lang w:val="nb-NO"/>
              </w:rPr>
              <w:t xml:space="preserve">). </w:t>
            </w:r>
            <w:r w:rsidRPr="00540146">
              <w:rPr>
                <w:i/>
                <w:lang w:val="nb-NO"/>
              </w:rPr>
              <w:t>Food Microbiol.</w:t>
            </w:r>
            <w:r w:rsidRPr="00540146">
              <w:rPr>
                <w:lang w:val="nb-NO"/>
              </w:rPr>
              <w:t xml:space="preserve"> 10: 337-344.</w:t>
            </w:r>
          </w:p>
          <w:p w14:paraId="403235ED" w14:textId="77777777" w:rsidR="00632C48" w:rsidRPr="009301DF" w:rsidRDefault="005F6F63" w:rsidP="00011670">
            <w:pPr>
              <w:pStyle w:val="Inne0"/>
              <w:framePr w:w="13214" w:h="9466" w:wrap="none" w:vAnchor="page" w:hAnchor="page" w:x="761" w:y="416"/>
              <w:spacing w:after="0"/>
            </w:pPr>
            <w:r w:rsidRPr="00540146">
              <w:rPr>
                <w:lang w:val="nb-NO"/>
              </w:rPr>
              <w:t xml:space="preserve">Bolton, D.J., R.A. Pearce, J.J. Sheridan, D.A. McDowell oraz I.S. Blair. 2003. Odkażanie tusz wieprzowych podczas oparzania i zapobieganie zakażeniu krzyżowemu </w:t>
            </w:r>
            <w:r w:rsidRPr="00540146">
              <w:rPr>
                <w:i/>
                <w:lang w:val="nb-NO"/>
              </w:rPr>
              <w:t>Salmonellą (</w:t>
            </w:r>
            <w:r w:rsidRPr="00540146">
              <w:rPr>
                <w:i/>
                <w:iCs/>
                <w:lang w:val="nb-NO"/>
              </w:rPr>
              <w:t>Decontamination of pork carcasses during scalding and the prevention of Salmonella crosscontamination</w:t>
            </w:r>
            <w:r w:rsidRPr="00540146">
              <w:rPr>
                <w:lang w:val="nb-NO"/>
              </w:rPr>
              <w:t xml:space="preserve">). </w:t>
            </w:r>
            <w:r w:rsidRPr="009301DF">
              <w:rPr>
                <w:i/>
              </w:rPr>
              <w:t>J Appl Microbiol</w:t>
            </w:r>
            <w:r w:rsidRPr="009301DF">
              <w:t>. 94: 1036-1042.</w:t>
            </w:r>
          </w:p>
        </w:tc>
        <w:tc>
          <w:tcPr>
            <w:tcW w:w="1236" w:type="pct"/>
            <w:tcBorders>
              <w:top w:val="single" w:sz="4" w:space="0" w:color="auto"/>
              <w:left w:val="single" w:sz="4" w:space="0" w:color="auto"/>
              <w:bottom w:val="single" w:sz="4" w:space="0" w:color="auto"/>
              <w:right w:val="single" w:sz="4" w:space="0" w:color="auto"/>
            </w:tcBorders>
            <w:shd w:val="clear" w:color="auto" w:fill="auto"/>
          </w:tcPr>
          <w:p w14:paraId="614BA71A" w14:textId="77777777" w:rsidR="00632C48" w:rsidRPr="009301DF" w:rsidRDefault="005F6F63" w:rsidP="00011670">
            <w:pPr>
              <w:pStyle w:val="Inne0"/>
              <w:framePr w:w="13214" w:h="9466" w:wrap="none" w:vAnchor="page" w:hAnchor="page" w:x="761" w:y="416"/>
              <w:spacing w:after="0"/>
            </w:pPr>
            <w:r w:rsidRPr="009301DF">
              <w:t>Zapisy z monitoringu w zakładzie za okres 90 dni zapisane w arkuszu kontrolnym monitoringu zbiornika do oparzania (w tym odczyty temperatury wody i czasu przejścia).</w:t>
            </w:r>
          </w:p>
        </w:tc>
      </w:tr>
    </w:tbl>
    <w:p w14:paraId="47969D65"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7820FC63" w14:textId="4B2E0B98" w:rsidR="00632C48" w:rsidRPr="009301DF" w:rsidRDefault="00011670">
      <w:pPr>
        <w:spacing w:line="1" w:lineRule="exact"/>
      </w:pPr>
      <w:r>
        <w:rPr>
          <w:noProof/>
        </w:rPr>
        <w:lastRenderedPageBreak/>
        <mc:AlternateContent>
          <mc:Choice Requires="wps">
            <w:drawing>
              <wp:anchor distT="0" distB="0" distL="114300" distR="114300" simplePos="0" relativeHeight="251659264" behindDoc="0" locked="0" layoutInCell="1" allowOverlap="1" wp14:anchorId="407F992A" wp14:editId="531222BA">
                <wp:simplePos x="0" y="0"/>
                <wp:positionH relativeFrom="column">
                  <wp:posOffset>195682</wp:posOffset>
                </wp:positionH>
                <wp:positionV relativeFrom="paragraph">
                  <wp:posOffset>-16459</wp:posOffset>
                </wp:positionV>
                <wp:extent cx="8471001" cy="7454189"/>
                <wp:effectExtent l="0" t="0" r="6350" b="0"/>
                <wp:wrapNone/>
                <wp:docPr id="155681768" name="Pole tekstowe 1"/>
                <wp:cNvGraphicFramePr/>
                <a:graphic xmlns:a="http://schemas.openxmlformats.org/drawingml/2006/main">
                  <a:graphicData uri="http://schemas.microsoft.com/office/word/2010/wordprocessingShape">
                    <wps:wsp>
                      <wps:cNvSpPr txBox="1"/>
                      <wps:spPr>
                        <a:xfrm>
                          <a:off x="0" y="0"/>
                          <a:ext cx="8471001" cy="7454189"/>
                        </a:xfrm>
                        <a:prstGeom prst="rect">
                          <a:avLst/>
                        </a:prstGeom>
                        <a:solidFill>
                          <a:schemeClr val="lt1"/>
                        </a:solidFill>
                        <a:ln w="6350">
                          <a:noFill/>
                        </a:ln>
                      </wps:spPr>
                      <wps:txbx>
                        <w:txbxContent>
                          <w:tbl>
                            <w:tblPr>
                              <w:tblOverlap w:val="never"/>
                              <w:tblW w:w="5000" w:type="pct"/>
                              <w:tblCellMar>
                                <w:left w:w="10" w:type="dxa"/>
                                <w:right w:w="10" w:type="dxa"/>
                              </w:tblCellMar>
                              <w:tblLook w:val="04A0" w:firstRow="1" w:lastRow="0" w:firstColumn="1" w:lastColumn="0" w:noHBand="0" w:noVBand="1"/>
                            </w:tblPr>
                            <w:tblGrid>
                              <w:gridCol w:w="1279"/>
                              <w:gridCol w:w="1444"/>
                              <w:gridCol w:w="1640"/>
                              <w:gridCol w:w="1831"/>
                              <w:gridCol w:w="4434"/>
                              <w:gridCol w:w="2429"/>
                            </w:tblGrid>
                            <w:tr w:rsidR="00011670" w:rsidRPr="009301DF" w14:paraId="4E74A86B" w14:textId="77777777" w:rsidTr="00981231">
                              <w:trPr>
                                <w:trHeight w:hRule="exact" w:val="408"/>
                              </w:trPr>
                              <w:tc>
                                <w:tcPr>
                                  <w:tcW w:w="5000" w:type="pct"/>
                                  <w:gridSpan w:val="6"/>
                                  <w:shd w:val="clear" w:color="auto" w:fill="auto"/>
                                </w:tcPr>
                                <w:p w14:paraId="2A95C35E" w14:textId="77777777" w:rsidR="00011670" w:rsidRPr="009301DF" w:rsidRDefault="00011670" w:rsidP="002F0761">
                                  <w:pPr>
                                    <w:pStyle w:val="Inne0"/>
                                    <w:spacing w:after="0"/>
                                    <w:suppressOverlap/>
                                  </w:pPr>
                                  <w:r w:rsidRPr="009301DF">
                                    <w:t>Wyłącznie do celów ilustracyjnych</w:t>
                                  </w:r>
                                </w:p>
                              </w:tc>
                            </w:tr>
                            <w:tr w:rsidR="00011670" w:rsidRPr="009301DF" w14:paraId="5DEEC3F4" w14:textId="77777777" w:rsidTr="00981231">
                              <w:trPr>
                                <w:trHeight w:hRule="exact" w:val="493"/>
                              </w:trPr>
                              <w:tc>
                                <w:tcPr>
                                  <w:tcW w:w="490" w:type="pct"/>
                                  <w:vMerge w:val="restart"/>
                                  <w:tcBorders>
                                    <w:top w:val="single" w:sz="4" w:space="0" w:color="auto"/>
                                    <w:left w:val="single" w:sz="4" w:space="0" w:color="auto"/>
                                  </w:tcBorders>
                                  <w:shd w:val="clear" w:color="auto" w:fill="auto"/>
                                </w:tcPr>
                                <w:p w14:paraId="6C6DF559" w14:textId="77777777" w:rsidR="00011670" w:rsidRPr="009301DF" w:rsidRDefault="00011670" w:rsidP="00011670">
                                  <w:pPr>
                                    <w:pStyle w:val="Inne0"/>
                                    <w:spacing w:after="0"/>
                                    <w:suppressOverlap/>
                                    <w:rPr>
                                      <w:sz w:val="22"/>
                                      <w:szCs w:val="22"/>
                                    </w:rPr>
                                  </w:pPr>
                                  <w:r w:rsidRPr="009301DF">
                                    <w:rPr>
                                      <w:sz w:val="22"/>
                                    </w:rPr>
                                    <w:t>Produkt</w:t>
                                  </w:r>
                                </w:p>
                              </w:tc>
                              <w:tc>
                                <w:tcPr>
                                  <w:tcW w:w="553" w:type="pct"/>
                                  <w:vMerge w:val="restart"/>
                                  <w:tcBorders>
                                    <w:top w:val="single" w:sz="4" w:space="0" w:color="auto"/>
                                    <w:left w:val="single" w:sz="4" w:space="0" w:color="auto"/>
                                  </w:tcBorders>
                                  <w:shd w:val="clear" w:color="auto" w:fill="auto"/>
                                </w:tcPr>
                                <w:p w14:paraId="516A476D" w14:textId="77777777" w:rsidR="00011670" w:rsidRPr="009301DF" w:rsidRDefault="00011670" w:rsidP="00011670">
                                  <w:pPr>
                                    <w:pStyle w:val="Inne0"/>
                                    <w:spacing w:after="0"/>
                                    <w:suppressOverlap/>
                                    <w:rPr>
                                      <w:sz w:val="22"/>
                                      <w:szCs w:val="22"/>
                                    </w:rPr>
                                  </w:pPr>
                                  <w:r w:rsidRPr="009301DF">
                                    <w:rPr>
                                      <w:sz w:val="22"/>
                                    </w:rPr>
                                    <w:t>Zagrożenie:</w:t>
                                  </w:r>
                                </w:p>
                              </w:tc>
                              <w:tc>
                                <w:tcPr>
                                  <w:tcW w:w="628" w:type="pct"/>
                                  <w:vMerge w:val="restart"/>
                                  <w:tcBorders>
                                    <w:top w:val="single" w:sz="4" w:space="0" w:color="auto"/>
                                    <w:left w:val="single" w:sz="4" w:space="0" w:color="auto"/>
                                  </w:tcBorders>
                                  <w:shd w:val="clear" w:color="auto" w:fill="auto"/>
                                </w:tcPr>
                                <w:p w14:paraId="7542F03E" w14:textId="77777777" w:rsidR="00011670" w:rsidRPr="009301DF" w:rsidRDefault="00011670" w:rsidP="00011670">
                                  <w:pPr>
                                    <w:pStyle w:val="Inne0"/>
                                    <w:spacing w:after="0"/>
                                    <w:suppressOverlap/>
                                    <w:rPr>
                                      <w:sz w:val="22"/>
                                      <w:szCs w:val="22"/>
                                    </w:rPr>
                                  </w:pPr>
                                  <w:r w:rsidRPr="009301DF">
                                    <w:rPr>
                                      <w:sz w:val="22"/>
                                    </w:rPr>
                                    <w:t>Proces</w:t>
                                  </w:r>
                                </w:p>
                              </w:tc>
                              <w:tc>
                                <w:tcPr>
                                  <w:tcW w:w="701" w:type="pct"/>
                                  <w:vMerge w:val="restart"/>
                                  <w:tcBorders>
                                    <w:top w:val="single" w:sz="4" w:space="0" w:color="auto"/>
                                    <w:left w:val="single" w:sz="4" w:space="0" w:color="auto"/>
                                  </w:tcBorders>
                                  <w:shd w:val="clear" w:color="auto" w:fill="auto"/>
                                </w:tcPr>
                                <w:p w14:paraId="24077DF3" w14:textId="77777777" w:rsidR="00011670" w:rsidRPr="009301DF" w:rsidRDefault="00011670" w:rsidP="00011670">
                                  <w:pPr>
                                    <w:pStyle w:val="Inne0"/>
                                    <w:spacing w:after="0"/>
                                    <w:suppressOverlap/>
                                    <w:rPr>
                                      <w:sz w:val="22"/>
                                      <w:szCs w:val="22"/>
                                    </w:rPr>
                                  </w:pPr>
                                  <w:r w:rsidRPr="009301DF">
                                    <w:rPr>
                                      <w:sz w:val="22"/>
                                    </w:rPr>
                                    <w:t>Krytyczne parametry operacyjne</w:t>
                                  </w:r>
                                </w:p>
                              </w:tc>
                              <w:tc>
                                <w:tcPr>
                                  <w:tcW w:w="2628" w:type="pct"/>
                                  <w:gridSpan w:val="2"/>
                                  <w:tcBorders>
                                    <w:top w:val="single" w:sz="4" w:space="0" w:color="auto"/>
                                    <w:left w:val="single" w:sz="4" w:space="0" w:color="auto"/>
                                    <w:right w:val="single" w:sz="4" w:space="0" w:color="auto"/>
                                  </w:tcBorders>
                                  <w:shd w:val="clear" w:color="auto" w:fill="auto"/>
                                </w:tcPr>
                                <w:p w14:paraId="4E779DD5" w14:textId="77777777" w:rsidR="00011670" w:rsidRPr="009301DF" w:rsidRDefault="00011670" w:rsidP="00011670">
                                  <w:pPr>
                                    <w:pStyle w:val="Inne0"/>
                                    <w:spacing w:after="0"/>
                                    <w:suppressOverlap/>
                                    <w:rPr>
                                      <w:sz w:val="22"/>
                                      <w:szCs w:val="22"/>
                                    </w:rPr>
                                  </w:pPr>
                                  <w:r w:rsidRPr="009301DF">
                                    <w:rPr>
                                      <w:sz w:val="22"/>
                                    </w:rPr>
                                    <w:t>Potwierdzenie</w:t>
                                  </w:r>
                                </w:p>
                              </w:tc>
                            </w:tr>
                            <w:tr w:rsidR="00011670" w:rsidRPr="009301DF" w14:paraId="28C9B568" w14:textId="77777777" w:rsidTr="00981231">
                              <w:trPr>
                                <w:trHeight w:hRule="exact" w:val="768"/>
                              </w:trPr>
                              <w:tc>
                                <w:tcPr>
                                  <w:tcW w:w="490" w:type="pct"/>
                                  <w:vMerge/>
                                  <w:tcBorders>
                                    <w:left w:val="single" w:sz="4" w:space="0" w:color="auto"/>
                                  </w:tcBorders>
                                  <w:shd w:val="clear" w:color="auto" w:fill="auto"/>
                                </w:tcPr>
                                <w:p w14:paraId="2BE03DBC" w14:textId="77777777" w:rsidR="00011670" w:rsidRPr="009301DF" w:rsidRDefault="00011670" w:rsidP="00011670">
                                  <w:pPr>
                                    <w:suppressOverlap/>
                                  </w:pPr>
                                </w:p>
                              </w:tc>
                              <w:tc>
                                <w:tcPr>
                                  <w:tcW w:w="553" w:type="pct"/>
                                  <w:vMerge/>
                                  <w:tcBorders>
                                    <w:left w:val="single" w:sz="4" w:space="0" w:color="auto"/>
                                  </w:tcBorders>
                                  <w:shd w:val="clear" w:color="auto" w:fill="auto"/>
                                </w:tcPr>
                                <w:p w14:paraId="54AD23D2" w14:textId="77777777" w:rsidR="00011670" w:rsidRPr="009301DF" w:rsidRDefault="00011670" w:rsidP="00011670">
                                  <w:pPr>
                                    <w:suppressOverlap/>
                                  </w:pPr>
                                </w:p>
                              </w:tc>
                              <w:tc>
                                <w:tcPr>
                                  <w:tcW w:w="628" w:type="pct"/>
                                  <w:vMerge/>
                                  <w:tcBorders>
                                    <w:left w:val="single" w:sz="4" w:space="0" w:color="auto"/>
                                  </w:tcBorders>
                                  <w:shd w:val="clear" w:color="auto" w:fill="auto"/>
                                </w:tcPr>
                                <w:p w14:paraId="114416EB" w14:textId="77777777" w:rsidR="00011670" w:rsidRPr="009301DF" w:rsidRDefault="00011670" w:rsidP="00011670">
                                  <w:pPr>
                                    <w:suppressOverlap/>
                                  </w:pPr>
                                </w:p>
                              </w:tc>
                              <w:tc>
                                <w:tcPr>
                                  <w:tcW w:w="701" w:type="pct"/>
                                  <w:vMerge/>
                                  <w:tcBorders>
                                    <w:left w:val="single" w:sz="4" w:space="0" w:color="auto"/>
                                  </w:tcBorders>
                                  <w:shd w:val="clear" w:color="auto" w:fill="auto"/>
                                </w:tcPr>
                                <w:p w14:paraId="7C2FF0DC" w14:textId="77777777" w:rsidR="00011670" w:rsidRPr="009301DF" w:rsidRDefault="00011670" w:rsidP="00011670">
                                  <w:pPr>
                                    <w:suppressOverlap/>
                                  </w:pPr>
                                </w:p>
                              </w:tc>
                              <w:tc>
                                <w:tcPr>
                                  <w:tcW w:w="1698" w:type="pct"/>
                                  <w:tcBorders>
                                    <w:top w:val="single" w:sz="4" w:space="0" w:color="auto"/>
                                    <w:left w:val="single" w:sz="4" w:space="0" w:color="auto"/>
                                  </w:tcBorders>
                                  <w:shd w:val="clear" w:color="auto" w:fill="auto"/>
                                </w:tcPr>
                                <w:p w14:paraId="563830AA" w14:textId="77777777" w:rsidR="00011670" w:rsidRPr="009301DF" w:rsidRDefault="00011670" w:rsidP="00011670">
                                  <w:pPr>
                                    <w:pStyle w:val="Inne0"/>
                                    <w:spacing w:after="0"/>
                                    <w:suppressOverlap/>
                                    <w:rPr>
                                      <w:sz w:val="22"/>
                                      <w:szCs w:val="22"/>
                                    </w:rPr>
                                  </w:pPr>
                                  <w:r w:rsidRPr="009301DF">
                                    <w:rPr>
                                      <w:sz w:val="22"/>
                                    </w:rPr>
                                    <w:t>Wsparcie naukowe lub techniczne</w:t>
                                  </w:r>
                                </w:p>
                              </w:tc>
                              <w:tc>
                                <w:tcPr>
                                  <w:tcW w:w="931" w:type="pct"/>
                                  <w:tcBorders>
                                    <w:top w:val="single" w:sz="4" w:space="0" w:color="auto"/>
                                    <w:left w:val="single" w:sz="4" w:space="0" w:color="auto"/>
                                    <w:right w:val="single" w:sz="4" w:space="0" w:color="auto"/>
                                  </w:tcBorders>
                                  <w:shd w:val="clear" w:color="auto" w:fill="auto"/>
                                </w:tcPr>
                                <w:p w14:paraId="44AFD6A1" w14:textId="77777777" w:rsidR="00011670" w:rsidRPr="009301DF" w:rsidRDefault="00011670" w:rsidP="00011670">
                                  <w:pPr>
                                    <w:pStyle w:val="Inne0"/>
                                    <w:spacing w:after="0"/>
                                    <w:suppressOverlap/>
                                    <w:rPr>
                                      <w:sz w:val="22"/>
                                      <w:szCs w:val="22"/>
                                    </w:rPr>
                                  </w:pPr>
                                  <w:r w:rsidRPr="009301DF">
                                    <w:rPr>
                                      <w:sz w:val="22"/>
                                    </w:rPr>
                                    <w:t>Wewnątrzzakładowe dane walidacyjne</w:t>
                                  </w:r>
                                </w:p>
                              </w:tc>
                            </w:tr>
                            <w:tr w:rsidR="00011670" w:rsidRPr="009301DF" w14:paraId="37BDEE23" w14:textId="77777777" w:rsidTr="00981231">
                              <w:trPr>
                                <w:trHeight w:hRule="exact" w:val="9787"/>
                              </w:trPr>
                              <w:tc>
                                <w:tcPr>
                                  <w:tcW w:w="490" w:type="pct"/>
                                  <w:tcBorders>
                                    <w:top w:val="single" w:sz="4" w:space="0" w:color="auto"/>
                                    <w:left w:val="single" w:sz="4" w:space="0" w:color="auto"/>
                                    <w:bottom w:val="single" w:sz="4" w:space="0" w:color="auto"/>
                                  </w:tcBorders>
                                  <w:shd w:val="clear" w:color="auto" w:fill="auto"/>
                                </w:tcPr>
                                <w:p w14:paraId="5D41253B" w14:textId="77777777" w:rsidR="00011670" w:rsidRPr="009301DF" w:rsidRDefault="00011670" w:rsidP="00011670">
                                  <w:pPr>
                                    <w:pStyle w:val="Inne0"/>
                                    <w:spacing w:after="0"/>
                                    <w:suppressOverlap/>
                                    <w:rPr>
                                      <w:sz w:val="22"/>
                                      <w:szCs w:val="22"/>
                                    </w:rPr>
                                  </w:pPr>
                                  <w:r w:rsidRPr="009301DF">
                                    <w:rPr>
                                      <w:sz w:val="22"/>
                                    </w:rPr>
                                    <w:t>Tusza wołowa</w:t>
                                  </w:r>
                                </w:p>
                              </w:tc>
                              <w:tc>
                                <w:tcPr>
                                  <w:tcW w:w="553" w:type="pct"/>
                                  <w:tcBorders>
                                    <w:top w:val="single" w:sz="4" w:space="0" w:color="auto"/>
                                    <w:left w:val="single" w:sz="4" w:space="0" w:color="auto"/>
                                    <w:bottom w:val="single" w:sz="4" w:space="0" w:color="auto"/>
                                  </w:tcBorders>
                                  <w:shd w:val="clear" w:color="auto" w:fill="auto"/>
                                </w:tcPr>
                                <w:p w14:paraId="273E2918" w14:textId="77777777" w:rsidR="00011670" w:rsidRPr="009301DF" w:rsidRDefault="00011670" w:rsidP="00011670">
                                  <w:pPr>
                                    <w:pStyle w:val="Inne0"/>
                                    <w:spacing w:after="0"/>
                                    <w:suppressOverlap/>
                                    <w:rPr>
                                      <w:sz w:val="22"/>
                                      <w:szCs w:val="22"/>
                                    </w:rPr>
                                  </w:pPr>
                                  <w:r w:rsidRPr="009301DF">
                                    <w:rPr>
                                      <w:sz w:val="22"/>
                                    </w:rPr>
                                    <w:t xml:space="preserve">Biologiczne - </w:t>
                                  </w:r>
                                  <w:r w:rsidRPr="009301DF">
                                    <w:rPr>
                                      <w:i/>
                                      <w:sz w:val="22"/>
                                    </w:rPr>
                                    <w:t xml:space="preserve">E. coli </w:t>
                                  </w:r>
                                  <w:r w:rsidRPr="009301DF">
                                    <w:rPr>
                                      <w:sz w:val="22"/>
                                    </w:rPr>
                                    <w:t>O157:H7, STEC inne niż O157</w:t>
                                  </w:r>
                                </w:p>
                              </w:tc>
                              <w:tc>
                                <w:tcPr>
                                  <w:tcW w:w="628" w:type="pct"/>
                                  <w:tcBorders>
                                    <w:top w:val="single" w:sz="4" w:space="0" w:color="auto"/>
                                    <w:left w:val="single" w:sz="4" w:space="0" w:color="auto"/>
                                    <w:bottom w:val="single" w:sz="4" w:space="0" w:color="auto"/>
                                  </w:tcBorders>
                                  <w:shd w:val="clear" w:color="auto" w:fill="auto"/>
                                </w:tcPr>
                                <w:p w14:paraId="16BB3D56" w14:textId="77777777" w:rsidR="00011670" w:rsidRPr="009301DF" w:rsidRDefault="00011670" w:rsidP="00011670">
                                  <w:pPr>
                                    <w:pStyle w:val="Inne0"/>
                                    <w:spacing w:after="0"/>
                                    <w:suppressOverlap/>
                                    <w:rPr>
                                      <w:sz w:val="22"/>
                                      <w:szCs w:val="22"/>
                                    </w:rPr>
                                  </w:pPr>
                                  <w:r w:rsidRPr="009301DF">
                                    <w:rPr>
                                      <w:sz w:val="22"/>
                                    </w:rPr>
                                    <w:t>Mycie tusz na gorąco lub termiczna obróbka tusz</w:t>
                                  </w:r>
                                </w:p>
                              </w:tc>
                              <w:tc>
                                <w:tcPr>
                                  <w:tcW w:w="701" w:type="pct"/>
                                  <w:tcBorders>
                                    <w:top w:val="single" w:sz="4" w:space="0" w:color="auto"/>
                                    <w:left w:val="single" w:sz="4" w:space="0" w:color="auto"/>
                                    <w:bottom w:val="single" w:sz="4" w:space="0" w:color="auto"/>
                                  </w:tcBorders>
                                  <w:shd w:val="clear" w:color="auto" w:fill="auto"/>
                                </w:tcPr>
                                <w:p w14:paraId="282CC7E3" w14:textId="77777777" w:rsidR="00011670" w:rsidRPr="009301DF" w:rsidRDefault="00011670" w:rsidP="00011670">
                                  <w:pPr>
                                    <w:pStyle w:val="Inne0"/>
                                    <w:suppressOverlap/>
                                    <w:rPr>
                                      <w:sz w:val="22"/>
                                      <w:szCs w:val="22"/>
                                    </w:rPr>
                                  </w:pPr>
                                  <w:r w:rsidRPr="009301DF">
                                    <w:rPr>
                                      <w:sz w:val="22"/>
                                    </w:rPr>
                                    <w:t>Mycie tusz na gorąco: Temperatura wody powyżej 180°F, ciśnienie powyżej 13 psi.</w:t>
                                  </w:r>
                                </w:p>
                                <w:p w14:paraId="58FD196B" w14:textId="77777777" w:rsidR="00011670" w:rsidRPr="009301DF" w:rsidRDefault="00011670" w:rsidP="00011670">
                                  <w:pPr>
                                    <w:pStyle w:val="Inne0"/>
                                    <w:suppressOverlap/>
                                    <w:rPr>
                                      <w:sz w:val="22"/>
                                      <w:szCs w:val="22"/>
                                    </w:rPr>
                                  </w:pPr>
                                  <w:r w:rsidRPr="009301DF">
                                    <w:rPr>
                                      <w:sz w:val="22"/>
                                    </w:rPr>
                                    <w:t>Pełne pokrycie tuszy.</w:t>
                                  </w:r>
                                </w:p>
                                <w:p w14:paraId="00C5026E" w14:textId="77777777" w:rsidR="00011670" w:rsidRPr="009301DF" w:rsidRDefault="00011670" w:rsidP="00011670">
                                  <w:pPr>
                                    <w:pStyle w:val="Inne0"/>
                                    <w:suppressOverlap/>
                                    <w:rPr>
                                      <w:sz w:val="22"/>
                                      <w:szCs w:val="22"/>
                                    </w:rPr>
                                  </w:pPr>
                                  <w:r w:rsidRPr="009301DF">
                                    <w:rPr>
                                      <w:sz w:val="22"/>
                                    </w:rPr>
                                    <w:t>Czas kontaktu: 10 lub więcej sekund.</w:t>
                                  </w:r>
                                </w:p>
                                <w:p w14:paraId="20FAE04C" w14:textId="77777777" w:rsidR="00011670" w:rsidRPr="009301DF" w:rsidRDefault="00011670" w:rsidP="00011670">
                                  <w:pPr>
                                    <w:pStyle w:val="Inne0"/>
                                    <w:suppressOverlap/>
                                    <w:rPr>
                                      <w:sz w:val="22"/>
                                      <w:szCs w:val="22"/>
                                    </w:rPr>
                                  </w:pPr>
                                  <w:r w:rsidRPr="009301DF">
                                    <w:rPr>
                                      <w:sz w:val="22"/>
                                    </w:rPr>
                                    <w:t>Obróbka termiczna tuszy: Temperatura pary wodnej wystarczająca do osiągnięcia 160°F na powierzchni w pięciu kluczowych miejscach anatomicznych.</w:t>
                                  </w:r>
                                </w:p>
                              </w:tc>
                              <w:tc>
                                <w:tcPr>
                                  <w:tcW w:w="1698" w:type="pct"/>
                                  <w:tcBorders>
                                    <w:top w:val="single" w:sz="4" w:space="0" w:color="auto"/>
                                    <w:left w:val="single" w:sz="4" w:space="0" w:color="auto"/>
                                    <w:bottom w:val="single" w:sz="4" w:space="0" w:color="auto"/>
                                  </w:tcBorders>
                                  <w:shd w:val="clear" w:color="auto" w:fill="auto"/>
                                </w:tcPr>
                                <w:p w14:paraId="537B8F23" w14:textId="77777777" w:rsidR="00011670" w:rsidRPr="00540146" w:rsidRDefault="00011670" w:rsidP="00011670">
                                  <w:pPr>
                                    <w:pStyle w:val="Inne0"/>
                                    <w:spacing w:after="220"/>
                                    <w:suppressOverlap/>
                                    <w:rPr>
                                      <w:sz w:val="22"/>
                                      <w:szCs w:val="22"/>
                                      <w:lang w:val="en-US"/>
                                    </w:rPr>
                                  </w:pPr>
                                  <w:r w:rsidRPr="00540146">
                                    <w:rPr>
                                      <w:sz w:val="22"/>
                                      <w:lang w:val="en-US"/>
                                    </w:rPr>
                                    <w:t>K.R. Davey, M.G. Smith 1989 Ocena laboratoryjna nowej komory na gorącą wodę do odkażania boków wołowych (</w:t>
                                  </w:r>
                                  <w:r w:rsidRPr="00540146">
                                    <w:rPr>
                                      <w:i/>
                                      <w:iCs/>
                                      <w:sz w:val="22"/>
                                      <w:lang w:val="en-US"/>
                                    </w:rPr>
                                    <w:t>1989 A laboratory evaluation of a novel hot water cabinet for the decontamination of sides of beef</w:t>
                                  </w:r>
                                  <w:r w:rsidRPr="00540146">
                                    <w:rPr>
                                      <w:sz w:val="22"/>
                                      <w:lang w:val="en-US"/>
                                    </w:rPr>
                                    <w:t xml:space="preserve">). </w:t>
                                  </w:r>
                                  <w:r w:rsidRPr="00540146">
                                    <w:rPr>
                                      <w:i/>
                                      <w:sz w:val="22"/>
                                      <w:lang w:val="en-US"/>
                                    </w:rPr>
                                    <w:t>Int J Food Sci Tech.</w:t>
                                  </w:r>
                                  <w:r w:rsidRPr="00540146">
                                    <w:rPr>
                                      <w:sz w:val="22"/>
                                      <w:lang w:val="en-US"/>
                                    </w:rPr>
                                    <w:t xml:space="preserve"> 24: 305-316.</w:t>
                                  </w:r>
                                </w:p>
                                <w:p w14:paraId="462F1AA7" w14:textId="77777777" w:rsidR="00011670" w:rsidRPr="00540146" w:rsidRDefault="00011670" w:rsidP="00011670">
                                  <w:pPr>
                                    <w:pStyle w:val="Inne0"/>
                                    <w:spacing w:after="220"/>
                                    <w:suppressOverlap/>
                                    <w:rPr>
                                      <w:sz w:val="22"/>
                                      <w:szCs w:val="22"/>
                                      <w:lang w:val="en-US"/>
                                    </w:rPr>
                                  </w:pPr>
                                  <w:r w:rsidRPr="00540146">
                                    <w:rPr>
                                      <w:sz w:val="22"/>
                                      <w:lang w:val="en-US"/>
                                    </w:rPr>
                                    <w:t>Dorsa, W.J., C.N. Cutter, G.R. Sirgusa, M. Koohmaraie. 1996. Mikrobiologiczne odkażanie tusz wołowych i owczych za pomocą pary, mycia gorącą wodą i odkażania parowo-próżniowego (</w:t>
                                  </w:r>
                                  <w:r w:rsidRPr="00540146">
                                    <w:rPr>
                                      <w:i/>
                                      <w:iCs/>
                                      <w:sz w:val="22"/>
                                      <w:lang w:val="en-US"/>
                                    </w:rPr>
                                    <w:t>Microbial Decontamination of Beef and Sheep carcasses by Steam, Hot water Spray Washes, and a Steam-vacuum Sanitizer</w:t>
                                  </w:r>
                                  <w:r w:rsidRPr="00540146">
                                    <w:rPr>
                                      <w:sz w:val="22"/>
                                      <w:lang w:val="en-US"/>
                                    </w:rPr>
                                    <w:t xml:space="preserve">). </w:t>
                                  </w:r>
                                  <w:r w:rsidRPr="00540146">
                                    <w:rPr>
                                      <w:i/>
                                      <w:sz w:val="22"/>
                                      <w:lang w:val="en-US"/>
                                    </w:rPr>
                                    <w:t>J. Food Prot.</w:t>
                                  </w:r>
                                  <w:r w:rsidRPr="00540146">
                                    <w:rPr>
                                      <w:sz w:val="22"/>
                                      <w:lang w:val="en-US"/>
                                    </w:rPr>
                                    <w:t xml:space="preserve"> 59: 127-135.</w:t>
                                  </w:r>
                                </w:p>
                                <w:p w14:paraId="181E4E3D" w14:textId="77777777" w:rsidR="00011670" w:rsidRPr="00540146" w:rsidRDefault="00011670" w:rsidP="00011670">
                                  <w:pPr>
                                    <w:pStyle w:val="Inne0"/>
                                    <w:spacing w:after="220"/>
                                    <w:suppressOverlap/>
                                    <w:rPr>
                                      <w:sz w:val="22"/>
                                      <w:szCs w:val="22"/>
                                      <w:lang w:val="en-US"/>
                                    </w:rPr>
                                  </w:pPr>
                                  <w:r w:rsidRPr="00540146">
                                    <w:rPr>
                                      <w:sz w:val="22"/>
                                      <w:lang w:val="en-US"/>
                                    </w:rPr>
                                    <w:t>Model śmiertelności AMI (</w:t>
                                  </w:r>
                                  <w:r w:rsidRPr="00540146">
                                    <w:rPr>
                                      <w:i/>
                                      <w:iCs/>
                                      <w:sz w:val="22"/>
                                      <w:lang w:val="en-US"/>
                                    </w:rPr>
                                    <w:t>AMI - acute mesenteric ischaemia - ostre niedokrwienie krezki</w:t>
                                  </w:r>
                                  <w:r w:rsidRPr="00540146">
                                    <w:rPr>
                                      <w:sz w:val="22"/>
                                      <w:lang w:val="en-US"/>
                                    </w:rPr>
                                    <w:t>) wykazujący śmiertelność przy 160°F na powierzchni tuszy (</w:t>
                                  </w:r>
                                  <w:r w:rsidRPr="00540146">
                                    <w:rPr>
                                      <w:i/>
                                      <w:iCs/>
                                      <w:sz w:val="22"/>
                                      <w:lang w:val="en-US"/>
                                    </w:rPr>
                                    <w:t>AMI Lethality model, demonstrating lethality at 160°F at carcass surface</w:t>
                                  </w:r>
                                  <w:r w:rsidRPr="00540146">
                                    <w:rPr>
                                      <w:sz w:val="22"/>
                                      <w:lang w:val="en-US"/>
                                    </w:rPr>
                                    <w:t>).</w:t>
                                  </w:r>
                                </w:p>
                                <w:p w14:paraId="5DAC3E45" w14:textId="77777777" w:rsidR="00011670" w:rsidRPr="00540146" w:rsidRDefault="00011670" w:rsidP="00011670">
                                  <w:pPr>
                                    <w:pStyle w:val="Inne0"/>
                                    <w:spacing w:after="220"/>
                                    <w:suppressOverlap/>
                                    <w:rPr>
                                      <w:sz w:val="22"/>
                                      <w:szCs w:val="22"/>
                                      <w:lang w:val="en-US"/>
                                    </w:rPr>
                                  </w:pPr>
                                  <w:r w:rsidRPr="00540146">
                                    <w:rPr>
                                      <w:sz w:val="22"/>
                                      <w:lang w:val="en-US"/>
                                    </w:rPr>
                                    <w:t>Nutsch, A.L., R.K. Phebus, M.J. Riemann, J.S. Kotrola, R.C. Wilson, J.E. Boyer i T.L. Brown. 1998. Pasteryzacja parowa komercyjnie ubijanych tusz wołowych: ocena populacji bakterii w pięciu lokalizacjach anatomicznych (</w:t>
                                  </w:r>
                                  <w:r w:rsidRPr="00540146">
                                    <w:rPr>
                                      <w:i/>
                                      <w:iCs/>
                                      <w:sz w:val="22"/>
                                      <w:lang w:val="en-US"/>
                                    </w:rPr>
                                    <w:t>Steam pasteurization of commercially slaughtered beef carcasses: evaluation of bacterial populations at five anatomical locations</w:t>
                                  </w:r>
                                  <w:r w:rsidRPr="00540146">
                                    <w:rPr>
                                      <w:sz w:val="22"/>
                                      <w:lang w:val="en-US"/>
                                    </w:rPr>
                                    <w:t xml:space="preserve">). </w:t>
                                  </w:r>
                                  <w:r w:rsidRPr="00540146">
                                    <w:rPr>
                                      <w:i/>
                                      <w:sz w:val="22"/>
                                      <w:lang w:val="en-US"/>
                                    </w:rPr>
                                    <w:t xml:space="preserve">J. Food Prot. </w:t>
                                  </w:r>
                                  <w:r w:rsidRPr="00540146">
                                    <w:rPr>
                                      <w:sz w:val="22"/>
                                      <w:lang w:val="en-US"/>
                                    </w:rPr>
                                    <w:t>61-571-577</w:t>
                                  </w:r>
                                </w:p>
                                <w:p w14:paraId="33DDBB2D" w14:textId="77777777" w:rsidR="00011670" w:rsidRPr="00540146" w:rsidRDefault="00011670" w:rsidP="00011670">
                                  <w:pPr>
                                    <w:pStyle w:val="Inne0"/>
                                    <w:spacing w:after="0"/>
                                    <w:suppressOverlap/>
                                    <w:rPr>
                                      <w:sz w:val="22"/>
                                      <w:szCs w:val="22"/>
                                      <w:lang w:val="en-US"/>
                                    </w:rPr>
                                  </w:pPr>
                                  <w:r w:rsidRPr="00540146">
                                    <w:rPr>
                                      <w:sz w:val="22"/>
                                      <w:lang w:val="en-US"/>
                                    </w:rPr>
                                    <w:t>Nutsch, A.L., R.K. Phebus, M.J.</w:t>
                                  </w:r>
                                </w:p>
                                <w:p w14:paraId="5C628C95" w14:textId="77777777" w:rsidR="00011670" w:rsidRPr="009301DF" w:rsidRDefault="00011670" w:rsidP="00011670">
                                  <w:pPr>
                                    <w:pStyle w:val="Inne0"/>
                                    <w:spacing w:after="220"/>
                                    <w:suppressOverlap/>
                                    <w:rPr>
                                      <w:sz w:val="22"/>
                                      <w:szCs w:val="22"/>
                                    </w:rPr>
                                  </w:pPr>
                                  <w:r w:rsidRPr="00540146">
                                    <w:rPr>
                                      <w:sz w:val="22"/>
                                      <w:lang w:val="en-US"/>
                                    </w:rPr>
                                    <w:t xml:space="preserve">Riemann, D.E. Schafer, J.E. Boyer, R.C. Wilson, J.D. Leising, C.L. Kastner. </w:t>
                                  </w:r>
                                  <w:r w:rsidRPr="009301DF">
                                    <w:rPr>
                                      <w:sz w:val="22"/>
                                    </w:rPr>
                                    <w:t>1997. Ocena procesu pasteryzacji parą wodną w komercyjnym zakładzie produkcji wołowiny (</w:t>
                                  </w:r>
                                  <w:r w:rsidRPr="009301DF">
                                    <w:rPr>
                                      <w:i/>
                                      <w:iCs/>
                                      <w:sz w:val="22"/>
                                    </w:rPr>
                                    <w:t>Evaluation of a Steam Pasteurization Process in a Commercial Beef Facility</w:t>
                                  </w:r>
                                  <w:r w:rsidRPr="009301DF">
                                    <w:rPr>
                                      <w:sz w:val="22"/>
                                    </w:rPr>
                                    <w:t xml:space="preserve">). </w:t>
                                  </w:r>
                                  <w:r w:rsidRPr="009301DF">
                                    <w:rPr>
                                      <w:i/>
                                      <w:sz w:val="22"/>
                                    </w:rPr>
                                    <w:t>J. Food Prot.</w:t>
                                  </w:r>
                                  <w:r w:rsidRPr="009301DF">
                                    <w:rPr>
                                      <w:sz w:val="22"/>
                                    </w:rPr>
                                    <w:t xml:space="preserve"> 60-485-492</w:t>
                                  </w:r>
                                </w:p>
                              </w:tc>
                              <w:tc>
                                <w:tcPr>
                                  <w:tcW w:w="931" w:type="pct"/>
                                  <w:tcBorders>
                                    <w:top w:val="single" w:sz="4" w:space="0" w:color="auto"/>
                                    <w:left w:val="single" w:sz="4" w:space="0" w:color="auto"/>
                                    <w:bottom w:val="single" w:sz="4" w:space="0" w:color="auto"/>
                                    <w:right w:val="single" w:sz="4" w:space="0" w:color="auto"/>
                                  </w:tcBorders>
                                  <w:shd w:val="clear" w:color="auto" w:fill="auto"/>
                                </w:tcPr>
                                <w:p w14:paraId="4BB804CC" w14:textId="77777777" w:rsidR="00011670" w:rsidRPr="009301DF" w:rsidRDefault="00011670" w:rsidP="00011670">
                                  <w:pPr>
                                    <w:pStyle w:val="Inne0"/>
                                    <w:suppressOverlap/>
                                    <w:rPr>
                                      <w:sz w:val="22"/>
                                      <w:szCs w:val="22"/>
                                    </w:rPr>
                                  </w:pPr>
                                  <w:r w:rsidRPr="009301DF">
                                    <w:rPr>
                                      <w:sz w:val="22"/>
                                    </w:rPr>
                                    <w:t>Zapisy z monitoringu w zakładzie za okres 90 dni dokumentujące parametry krytyczne i raporty próbne przeprowadzone przy określonych parametrach krytycznych wykazujące całkowite pokrycie tuszy sprayem oraz temperaturę sprayu przy tuszy.</w:t>
                                  </w:r>
                                </w:p>
                                <w:p w14:paraId="6D9CE9B0" w14:textId="77777777" w:rsidR="00011670" w:rsidRPr="009301DF" w:rsidRDefault="00011670" w:rsidP="00011670">
                                  <w:pPr>
                                    <w:pStyle w:val="Inne0"/>
                                    <w:spacing w:after="0"/>
                                    <w:suppressOverlap/>
                                    <w:rPr>
                                      <w:sz w:val="22"/>
                                      <w:szCs w:val="22"/>
                                    </w:rPr>
                                  </w:pPr>
                                  <w:r w:rsidRPr="009301DF">
                                    <w:rPr>
                                      <w:sz w:val="22"/>
                                    </w:rPr>
                                    <w:t>Zapisy z monitoringu w zakładzie dla 90-dniowego okresu mapowania temperatury.</w:t>
                                  </w:r>
                                </w:p>
                              </w:tc>
                            </w:tr>
                          </w:tbl>
                          <w:p w14:paraId="31817DDE" w14:textId="77777777" w:rsidR="00011670" w:rsidRDefault="000116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F992A" id="_x0000_t202" coordsize="21600,21600" o:spt="202" path="m,l,21600r21600,l21600,xe">
                <v:stroke joinstyle="miter"/>
                <v:path gradientshapeok="t" o:connecttype="rect"/>
              </v:shapetype>
              <v:shape id="Pole tekstowe 1" o:spid="_x0000_s1026" type="#_x0000_t202" style="position:absolute;margin-left:15.4pt;margin-top:-1.3pt;width:667pt;height:58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" fillcolor="white [3201]" stroked="f" strokeweight=".5pt">
                <v:textbox>
                  <w:txbxContent>
                    <w:tbl>
                      <w:tblPr>
                        <w:tblOverlap w:val="never"/>
                        <w:tblW w:w="5000" w:type="pct"/>
                        <w:tblCellMar>
                          <w:left w:w="10" w:type="dxa"/>
                          <w:right w:w="10" w:type="dxa"/>
                        </w:tblCellMar>
                        <w:tblLook w:val="04A0" w:firstRow="1" w:lastRow="0" w:firstColumn="1" w:lastColumn="0" w:noHBand="0" w:noVBand="1"/>
                      </w:tblPr>
                      <w:tblGrid>
                        <w:gridCol w:w="1279"/>
                        <w:gridCol w:w="1444"/>
                        <w:gridCol w:w="1640"/>
                        <w:gridCol w:w="1831"/>
                        <w:gridCol w:w="4434"/>
                        <w:gridCol w:w="2429"/>
                      </w:tblGrid>
                      <w:tr w:rsidR="00011670" w:rsidRPr="009301DF" w14:paraId="4E74A86B" w14:textId="77777777" w:rsidTr="00981231">
                        <w:trPr>
                          <w:trHeight w:hRule="exact" w:val="408"/>
                        </w:trPr>
                        <w:tc>
                          <w:tcPr>
                            <w:tcW w:w="5000" w:type="pct"/>
                            <w:gridSpan w:val="6"/>
                            <w:shd w:val="clear" w:color="auto" w:fill="auto"/>
                          </w:tcPr>
                          <w:p w14:paraId="2A95C35E" w14:textId="77777777" w:rsidR="00011670" w:rsidRPr="009301DF" w:rsidRDefault="00011670" w:rsidP="002F0761">
                            <w:pPr>
                              <w:pStyle w:val="Inne0"/>
                              <w:spacing w:after="0"/>
                              <w:suppressOverlap/>
                            </w:pPr>
                            <w:r w:rsidRPr="009301DF">
                              <w:t>Wyłącznie do celów ilustracyjnych</w:t>
                            </w:r>
                          </w:p>
                        </w:tc>
                      </w:tr>
                      <w:tr w:rsidR="00011670" w:rsidRPr="009301DF" w14:paraId="5DEEC3F4" w14:textId="77777777" w:rsidTr="00981231">
                        <w:trPr>
                          <w:trHeight w:hRule="exact" w:val="493"/>
                        </w:trPr>
                        <w:tc>
                          <w:tcPr>
                            <w:tcW w:w="490" w:type="pct"/>
                            <w:vMerge w:val="restart"/>
                            <w:tcBorders>
                              <w:top w:val="single" w:sz="4" w:space="0" w:color="auto"/>
                              <w:left w:val="single" w:sz="4" w:space="0" w:color="auto"/>
                            </w:tcBorders>
                            <w:shd w:val="clear" w:color="auto" w:fill="auto"/>
                          </w:tcPr>
                          <w:p w14:paraId="6C6DF559" w14:textId="77777777" w:rsidR="00011670" w:rsidRPr="009301DF" w:rsidRDefault="00011670" w:rsidP="00011670">
                            <w:pPr>
                              <w:pStyle w:val="Inne0"/>
                              <w:spacing w:after="0"/>
                              <w:suppressOverlap/>
                              <w:rPr>
                                <w:sz w:val="22"/>
                                <w:szCs w:val="22"/>
                              </w:rPr>
                            </w:pPr>
                            <w:r w:rsidRPr="009301DF">
                              <w:rPr>
                                <w:sz w:val="22"/>
                              </w:rPr>
                              <w:t>Produkt</w:t>
                            </w:r>
                          </w:p>
                        </w:tc>
                        <w:tc>
                          <w:tcPr>
                            <w:tcW w:w="553" w:type="pct"/>
                            <w:vMerge w:val="restart"/>
                            <w:tcBorders>
                              <w:top w:val="single" w:sz="4" w:space="0" w:color="auto"/>
                              <w:left w:val="single" w:sz="4" w:space="0" w:color="auto"/>
                            </w:tcBorders>
                            <w:shd w:val="clear" w:color="auto" w:fill="auto"/>
                          </w:tcPr>
                          <w:p w14:paraId="516A476D" w14:textId="77777777" w:rsidR="00011670" w:rsidRPr="009301DF" w:rsidRDefault="00011670" w:rsidP="00011670">
                            <w:pPr>
                              <w:pStyle w:val="Inne0"/>
                              <w:spacing w:after="0"/>
                              <w:suppressOverlap/>
                              <w:rPr>
                                <w:sz w:val="22"/>
                                <w:szCs w:val="22"/>
                              </w:rPr>
                            </w:pPr>
                            <w:r w:rsidRPr="009301DF">
                              <w:rPr>
                                <w:sz w:val="22"/>
                              </w:rPr>
                              <w:t>Zagrożenie:</w:t>
                            </w:r>
                          </w:p>
                        </w:tc>
                        <w:tc>
                          <w:tcPr>
                            <w:tcW w:w="628" w:type="pct"/>
                            <w:vMerge w:val="restart"/>
                            <w:tcBorders>
                              <w:top w:val="single" w:sz="4" w:space="0" w:color="auto"/>
                              <w:left w:val="single" w:sz="4" w:space="0" w:color="auto"/>
                            </w:tcBorders>
                            <w:shd w:val="clear" w:color="auto" w:fill="auto"/>
                          </w:tcPr>
                          <w:p w14:paraId="7542F03E" w14:textId="77777777" w:rsidR="00011670" w:rsidRPr="009301DF" w:rsidRDefault="00011670" w:rsidP="00011670">
                            <w:pPr>
                              <w:pStyle w:val="Inne0"/>
                              <w:spacing w:after="0"/>
                              <w:suppressOverlap/>
                              <w:rPr>
                                <w:sz w:val="22"/>
                                <w:szCs w:val="22"/>
                              </w:rPr>
                            </w:pPr>
                            <w:r w:rsidRPr="009301DF">
                              <w:rPr>
                                <w:sz w:val="22"/>
                              </w:rPr>
                              <w:t>Proces</w:t>
                            </w:r>
                          </w:p>
                        </w:tc>
                        <w:tc>
                          <w:tcPr>
                            <w:tcW w:w="701" w:type="pct"/>
                            <w:vMerge w:val="restart"/>
                            <w:tcBorders>
                              <w:top w:val="single" w:sz="4" w:space="0" w:color="auto"/>
                              <w:left w:val="single" w:sz="4" w:space="0" w:color="auto"/>
                            </w:tcBorders>
                            <w:shd w:val="clear" w:color="auto" w:fill="auto"/>
                          </w:tcPr>
                          <w:p w14:paraId="24077DF3" w14:textId="77777777" w:rsidR="00011670" w:rsidRPr="009301DF" w:rsidRDefault="00011670" w:rsidP="00011670">
                            <w:pPr>
                              <w:pStyle w:val="Inne0"/>
                              <w:spacing w:after="0"/>
                              <w:suppressOverlap/>
                              <w:rPr>
                                <w:sz w:val="22"/>
                                <w:szCs w:val="22"/>
                              </w:rPr>
                            </w:pPr>
                            <w:r w:rsidRPr="009301DF">
                              <w:rPr>
                                <w:sz w:val="22"/>
                              </w:rPr>
                              <w:t>Krytyczne parametry operacyjne</w:t>
                            </w:r>
                          </w:p>
                        </w:tc>
                        <w:tc>
                          <w:tcPr>
                            <w:tcW w:w="2628" w:type="pct"/>
                            <w:gridSpan w:val="2"/>
                            <w:tcBorders>
                              <w:top w:val="single" w:sz="4" w:space="0" w:color="auto"/>
                              <w:left w:val="single" w:sz="4" w:space="0" w:color="auto"/>
                              <w:right w:val="single" w:sz="4" w:space="0" w:color="auto"/>
                            </w:tcBorders>
                            <w:shd w:val="clear" w:color="auto" w:fill="auto"/>
                          </w:tcPr>
                          <w:p w14:paraId="4E779DD5" w14:textId="77777777" w:rsidR="00011670" w:rsidRPr="009301DF" w:rsidRDefault="00011670" w:rsidP="00011670">
                            <w:pPr>
                              <w:pStyle w:val="Inne0"/>
                              <w:spacing w:after="0"/>
                              <w:suppressOverlap/>
                              <w:rPr>
                                <w:sz w:val="22"/>
                                <w:szCs w:val="22"/>
                              </w:rPr>
                            </w:pPr>
                            <w:r w:rsidRPr="009301DF">
                              <w:rPr>
                                <w:sz w:val="22"/>
                              </w:rPr>
                              <w:t>Potwierdzenie</w:t>
                            </w:r>
                          </w:p>
                        </w:tc>
                      </w:tr>
                      <w:tr w:rsidR="00011670" w:rsidRPr="009301DF" w14:paraId="28C9B568" w14:textId="77777777" w:rsidTr="00981231">
                        <w:trPr>
                          <w:trHeight w:hRule="exact" w:val="768"/>
                        </w:trPr>
                        <w:tc>
                          <w:tcPr>
                            <w:tcW w:w="490" w:type="pct"/>
                            <w:vMerge/>
                            <w:tcBorders>
                              <w:left w:val="single" w:sz="4" w:space="0" w:color="auto"/>
                            </w:tcBorders>
                            <w:shd w:val="clear" w:color="auto" w:fill="auto"/>
                          </w:tcPr>
                          <w:p w14:paraId="2BE03DBC" w14:textId="77777777" w:rsidR="00011670" w:rsidRPr="009301DF" w:rsidRDefault="00011670" w:rsidP="00011670">
                            <w:pPr>
                              <w:suppressOverlap/>
                            </w:pPr>
                          </w:p>
                        </w:tc>
                        <w:tc>
                          <w:tcPr>
                            <w:tcW w:w="553" w:type="pct"/>
                            <w:vMerge/>
                            <w:tcBorders>
                              <w:left w:val="single" w:sz="4" w:space="0" w:color="auto"/>
                            </w:tcBorders>
                            <w:shd w:val="clear" w:color="auto" w:fill="auto"/>
                          </w:tcPr>
                          <w:p w14:paraId="54AD23D2" w14:textId="77777777" w:rsidR="00011670" w:rsidRPr="009301DF" w:rsidRDefault="00011670" w:rsidP="00011670">
                            <w:pPr>
                              <w:suppressOverlap/>
                            </w:pPr>
                          </w:p>
                        </w:tc>
                        <w:tc>
                          <w:tcPr>
                            <w:tcW w:w="628" w:type="pct"/>
                            <w:vMerge/>
                            <w:tcBorders>
                              <w:left w:val="single" w:sz="4" w:space="0" w:color="auto"/>
                            </w:tcBorders>
                            <w:shd w:val="clear" w:color="auto" w:fill="auto"/>
                          </w:tcPr>
                          <w:p w14:paraId="114416EB" w14:textId="77777777" w:rsidR="00011670" w:rsidRPr="009301DF" w:rsidRDefault="00011670" w:rsidP="00011670">
                            <w:pPr>
                              <w:suppressOverlap/>
                            </w:pPr>
                          </w:p>
                        </w:tc>
                        <w:tc>
                          <w:tcPr>
                            <w:tcW w:w="701" w:type="pct"/>
                            <w:vMerge/>
                            <w:tcBorders>
                              <w:left w:val="single" w:sz="4" w:space="0" w:color="auto"/>
                            </w:tcBorders>
                            <w:shd w:val="clear" w:color="auto" w:fill="auto"/>
                          </w:tcPr>
                          <w:p w14:paraId="7C2FF0DC" w14:textId="77777777" w:rsidR="00011670" w:rsidRPr="009301DF" w:rsidRDefault="00011670" w:rsidP="00011670">
                            <w:pPr>
                              <w:suppressOverlap/>
                            </w:pPr>
                          </w:p>
                        </w:tc>
                        <w:tc>
                          <w:tcPr>
                            <w:tcW w:w="1698" w:type="pct"/>
                            <w:tcBorders>
                              <w:top w:val="single" w:sz="4" w:space="0" w:color="auto"/>
                              <w:left w:val="single" w:sz="4" w:space="0" w:color="auto"/>
                            </w:tcBorders>
                            <w:shd w:val="clear" w:color="auto" w:fill="auto"/>
                          </w:tcPr>
                          <w:p w14:paraId="563830AA" w14:textId="77777777" w:rsidR="00011670" w:rsidRPr="009301DF" w:rsidRDefault="00011670" w:rsidP="00011670">
                            <w:pPr>
                              <w:pStyle w:val="Inne0"/>
                              <w:spacing w:after="0"/>
                              <w:suppressOverlap/>
                              <w:rPr>
                                <w:sz w:val="22"/>
                                <w:szCs w:val="22"/>
                              </w:rPr>
                            </w:pPr>
                            <w:r w:rsidRPr="009301DF">
                              <w:rPr>
                                <w:sz w:val="22"/>
                              </w:rPr>
                              <w:t>Wsparcie naukowe lub techniczne</w:t>
                            </w:r>
                          </w:p>
                        </w:tc>
                        <w:tc>
                          <w:tcPr>
                            <w:tcW w:w="931" w:type="pct"/>
                            <w:tcBorders>
                              <w:top w:val="single" w:sz="4" w:space="0" w:color="auto"/>
                              <w:left w:val="single" w:sz="4" w:space="0" w:color="auto"/>
                              <w:right w:val="single" w:sz="4" w:space="0" w:color="auto"/>
                            </w:tcBorders>
                            <w:shd w:val="clear" w:color="auto" w:fill="auto"/>
                          </w:tcPr>
                          <w:p w14:paraId="44AFD6A1" w14:textId="77777777" w:rsidR="00011670" w:rsidRPr="009301DF" w:rsidRDefault="00011670" w:rsidP="00011670">
                            <w:pPr>
                              <w:pStyle w:val="Inne0"/>
                              <w:spacing w:after="0"/>
                              <w:suppressOverlap/>
                              <w:rPr>
                                <w:sz w:val="22"/>
                                <w:szCs w:val="22"/>
                              </w:rPr>
                            </w:pPr>
                            <w:r w:rsidRPr="009301DF">
                              <w:rPr>
                                <w:sz w:val="22"/>
                              </w:rPr>
                              <w:t>Wewnątrzzakładowe dane walidacyjne</w:t>
                            </w:r>
                          </w:p>
                        </w:tc>
                      </w:tr>
                      <w:tr w:rsidR="00011670" w:rsidRPr="009301DF" w14:paraId="37BDEE23" w14:textId="77777777" w:rsidTr="00981231">
                        <w:trPr>
                          <w:trHeight w:hRule="exact" w:val="9787"/>
                        </w:trPr>
                        <w:tc>
                          <w:tcPr>
                            <w:tcW w:w="490" w:type="pct"/>
                            <w:tcBorders>
                              <w:top w:val="single" w:sz="4" w:space="0" w:color="auto"/>
                              <w:left w:val="single" w:sz="4" w:space="0" w:color="auto"/>
                              <w:bottom w:val="single" w:sz="4" w:space="0" w:color="auto"/>
                            </w:tcBorders>
                            <w:shd w:val="clear" w:color="auto" w:fill="auto"/>
                          </w:tcPr>
                          <w:p w14:paraId="5D41253B" w14:textId="77777777" w:rsidR="00011670" w:rsidRPr="009301DF" w:rsidRDefault="00011670" w:rsidP="00011670">
                            <w:pPr>
                              <w:pStyle w:val="Inne0"/>
                              <w:spacing w:after="0"/>
                              <w:suppressOverlap/>
                              <w:rPr>
                                <w:sz w:val="22"/>
                                <w:szCs w:val="22"/>
                              </w:rPr>
                            </w:pPr>
                            <w:r w:rsidRPr="009301DF">
                              <w:rPr>
                                <w:sz w:val="22"/>
                              </w:rPr>
                              <w:t>Tusza wołowa</w:t>
                            </w:r>
                          </w:p>
                        </w:tc>
                        <w:tc>
                          <w:tcPr>
                            <w:tcW w:w="553" w:type="pct"/>
                            <w:tcBorders>
                              <w:top w:val="single" w:sz="4" w:space="0" w:color="auto"/>
                              <w:left w:val="single" w:sz="4" w:space="0" w:color="auto"/>
                              <w:bottom w:val="single" w:sz="4" w:space="0" w:color="auto"/>
                            </w:tcBorders>
                            <w:shd w:val="clear" w:color="auto" w:fill="auto"/>
                          </w:tcPr>
                          <w:p w14:paraId="273E2918" w14:textId="77777777" w:rsidR="00011670" w:rsidRPr="009301DF" w:rsidRDefault="00011670" w:rsidP="00011670">
                            <w:pPr>
                              <w:pStyle w:val="Inne0"/>
                              <w:spacing w:after="0"/>
                              <w:suppressOverlap/>
                              <w:rPr>
                                <w:sz w:val="22"/>
                                <w:szCs w:val="22"/>
                              </w:rPr>
                            </w:pPr>
                            <w:r w:rsidRPr="009301DF">
                              <w:rPr>
                                <w:sz w:val="22"/>
                              </w:rPr>
                              <w:t xml:space="preserve">Biologiczne - </w:t>
                            </w:r>
                            <w:r w:rsidRPr="009301DF">
                              <w:rPr>
                                <w:i/>
                                <w:sz w:val="22"/>
                              </w:rPr>
                              <w:t xml:space="preserve">E. coli </w:t>
                            </w:r>
                            <w:r w:rsidRPr="009301DF">
                              <w:rPr>
                                <w:sz w:val="22"/>
                              </w:rPr>
                              <w:t>O157:H7, STEC inne niż O157</w:t>
                            </w:r>
                          </w:p>
                        </w:tc>
                        <w:tc>
                          <w:tcPr>
                            <w:tcW w:w="628" w:type="pct"/>
                            <w:tcBorders>
                              <w:top w:val="single" w:sz="4" w:space="0" w:color="auto"/>
                              <w:left w:val="single" w:sz="4" w:space="0" w:color="auto"/>
                              <w:bottom w:val="single" w:sz="4" w:space="0" w:color="auto"/>
                            </w:tcBorders>
                            <w:shd w:val="clear" w:color="auto" w:fill="auto"/>
                          </w:tcPr>
                          <w:p w14:paraId="16BB3D56" w14:textId="77777777" w:rsidR="00011670" w:rsidRPr="009301DF" w:rsidRDefault="00011670" w:rsidP="00011670">
                            <w:pPr>
                              <w:pStyle w:val="Inne0"/>
                              <w:spacing w:after="0"/>
                              <w:suppressOverlap/>
                              <w:rPr>
                                <w:sz w:val="22"/>
                                <w:szCs w:val="22"/>
                              </w:rPr>
                            </w:pPr>
                            <w:r w:rsidRPr="009301DF">
                              <w:rPr>
                                <w:sz w:val="22"/>
                              </w:rPr>
                              <w:t>Mycie tusz na gorąco lub termiczna obróbka tusz</w:t>
                            </w:r>
                          </w:p>
                        </w:tc>
                        <w:tc>
                          <w:tcPr>
                            <w:tcW w:w="701" w:type="pct"/>
                            <w:tcBorders>
                              <w:top w:val="single" w:sz="4" w:space="0" w:color="auto"/>
                              <w:left w:val="single" w:sz="4" w:space="0" w:color="auto"/>
                              <w:bottom w:val="single" w:sz="4" w:space="0" w:color="auto"/>
                            </w:tcBorders>
                            <w:shd w:val="clear" w:color="auto" w:fill="auto"/>
                          </w:tcPr>
                          <w:p w14:paraId="282CC7E3" w14:textId="77777777" w:rsidR="00011670" w:rsidRPr="009301DF" w:rsidRDefault="00011670" w:rsidP="00011670">
                            <w:pPr>
                              <w:pStyle w:val="Inne0"/>
                              <w:suppressOverlap/>
                              <w:rPr>
                                <w:sz w:val="22"/>
                                <w:szCs w:val="22"/>
                              </w:rPr>
                            </w:pPr>
                            <w:r w:rsidRPr="009301DF">
                              <w:rPr>
                                <w:sz w:val="22"/>
                              </w:rPr>
                              <w:t>Mycie tusz na gorąco: Temperatura wody powyżej 180°F, ciśnienie powyżej 13 psi.</w:t>
                            </w:r>
                          </w:p>
                          <w:p w14:paraId="58FD196B" w14:textId="77777777" w:rsidR="00011670" w:rsidRPr="009301DF" w:rsidRDefault="00011670" w:rsidP="00011670">
                            <w:pPr>
                              <w:pStyle w:val="Inne0"/>
                              <w:suppressOverlap/>
                              <w:rPr>
                                <w:sz w:val="22"/>
                                <w:szCs w:val="22"/>
                              </w:rPr>
                            </w:pPr>
                            <w:r w:rsidRPr="009301DF">
                              <w:rPr>
                                <w:sz w:val="22"/>
                              </w:rPr>
                              <w:t>Pełne pokrycie tuszy.</w:t>
                            </w:r>
                          </w:p>
                          <w:p w14:paraId="00C5026E" w14:textId="77777777" w:rsidR="00011670" w:rsidRPr="009301DF" w:rsidRDefault="00011670" w:rsidP="00011670">
                            <w:pPr>
                              <w:pStyle w:val="Inne0"/>
                              <w:suppressOverlap/>
                              <w:rPr>
                                <w:sz w:val="22"/>
                                <w:szCs w:val="22"/>
                              </w:rPr>
                            </w:pPr>
                            <w:r w:rsidRPr="009301DF">
                              <w:rPr>
                                <w:sz w:val="22"/>
                              </w:rPr>
                              <w:t>Czas kontaktu: 10 lub więcej sekund.</w:t>
                            </w:r>
                          </w:p>
                          <w:p w14:paraId="20FAE04C" w14:textId="77777777" w:rsidR="00011670" w:rsidRPr="009301DF" w:rsidRDefault="00011670" w:rsidP="00011670">
                            <w:pPr>
                              <w:pStyle w:val="Inne0"/>
                              <w:suppressOverlap/>
                              <w:rPr>
                                <w:sz w:val="22"/>
                                <w:szCs w:val="22"/>
                              </w:rPr>
                            </w:pPr>
                            <w:r w:rsidRPr="009301DF">
                              <w:rPr>
                                <w:sz w:val="22"/>
                              </w:rPr>
                              <w:t>Obróbka termiczna tuszy: Temperatura pary wodnej wystarczająca do osiągnięcia 160°F na powierzchni w pięciu kluczowych miejscach anatomicznych.</w:t>
                            </w:r>
                          </w:p>
                        </w:tc>
                        <w:tc>
                          <w:tcPr>
                            <w:tcW w:w="1698" w:type="pct"/>
                            <w:tcBorders>
                              <w:top w:val="single" w:sz="4" w:space="0" w:color="auto"/>
                              <w:left w:val="single" w:sz="4" w:space="0" w:color="auto"/>
                              <w:bottom w:val="single" w:sz="4" w:space="0" w:color="auto"/>
                            </w:tcBorders>
                            <w:shd w:val="clear" w:color="auto" w:fill="auto"/>
                          </w:tcPr>
                          <w:p w14:paraId="537B8F23" w14:textId="77777777" w:rsidR="00011670" w:rsidRPr="00540146" w:rsidRDefault="00011670" w:rsidP="00011670">
                            <w:pPr>
                              <w:pStyle w:val="Inne0"/>
                              <w:spacing w:after="220"/>
                              <w:suppressOverlap/>
                              <w:rPr>
                                <w:sz w:val="22"/>
                                <w:szCs w:val="22"/>
                                <w:lang w:val="en-US"/>
                              </w:rPr>
                            </w:pPr>
                            <w:r w:rsidRPr="00540146">
                              <w:rPr>
                                <w:sz w:val="22"/>
                                <w:lang w:val="en-US"/>
                              </w:rPr>
                              <w:t>K.R. Davey, M.G. Smith 1989 Ocena laboratoryjna nowej komory na gorącą wodę do odkażania boków wołowych (</w:t>
                            </w:r>
                            <w:r w:rsidRPr="00540146">
                              <w:rPr>
                                <w:i/>
                                <w:iCs/>
                                <w:sz w:val="22"/>
                                <w:lang w:val="en-US"/>
                              </w:rPr>
                              <w:t>1989 A laboratory evaluation of a novel hot water cabinet for the decontamination of sides of beef</w:t>
                            </w:r>
                            <w:r w:rsidRPr="00540146">
                              <w:rPr>
                                <w:sz w:val="22"/>
                                <w:lang w:val="en-US"/>
                              </w:rPr>
                              <w:t xml:space="preserve">). </w:t>
                            </w:r>
                            <w:r w:rsidRPr="00540146">
                              <w:rPr>
                                <w:i/>
                                <w:sz w:val="22"/>
                                <w:lang w:val="en-US"/>
                              </w:rPr>
                              <w:t>Int J Food Sci Tech.</w:t>
                            </w:r>
                            <w:r w:rsidRPr="00540146">
                              <w:rPr>
                                <w:sz w:val="22"/>
                                <w:lang w:val="en-US"/>
                              </w:rPr>
                              <w:t xml:space="preserve"> 24: 305-316.</w:t>
                            </w:r>
                          </w:p>
                          <w:p w14:paraId="462F1AA7" w14:textId="77777777" w:rsidR="00011670" w:rsidRPr="00540146" w:rsidRDefault="00011670" w:rsidP="00011670">
                            <w:pPr>
                              <w:pStyle w:val="Inne0"/>
                              <w:spacing w:after="220"/>
                              <w:suppressOverlap/>
                              <w:rPr>
                                <w:sz w:val="22"/>
                                <w:szCs w:val="22"/>
                                <w:lang w:val="en-US"/>
                              </w:rPr>
                            </w:pPr>
                            <w:r w:rsidRPr="00540146">
                              <w:rPr>
                                <w:sz w:val="22"/>
                                <w:lang w:val="en-US"/>
                              </w:rPr>
                              <w:t>Dorsa, W.J., C.N. Cutter, G.R. Sirgusa, M. Koohmaraie. 1996. Mikrobiologiczne odkażanie tusz wołowych i owczych za pomocą pary, mycia gorącą wodą i odkażania parowo-próżniowego (</w:t>
                            </w:r>
                            <w:r w:rsidRPr="00540146">
                              <w:rPr>
                                <w:i/>
                                <w:iCs/>
                                <w:sz w:val="22"/>
                                <w:lang w:val="en-US"/>
                              </w:rPr>
                              <w:t>Microbial Decontamination of Beef and Sheep carcasses by Steam, Hot water Spray Washes, and a Steam-vacuum Sanitizer</w:t>
                            </w:r>
                            <w:r w:rsidRPr="00540146">
                              <w:rPr>
                                <w:sz w:val="22"/>
                                <w:lang w:val="en-US"/>
                              </w:rPr>
                              <w:t xml:space="preserve">). </w:t>
                            </w:r>
                            <w:r w:rsidRPr="00540146">
                              <w:rPr>
                                <w:i/>
                                <w:sz w:val="22"/>
                                <w:lang w:val="en-US"/>
                              </w:rPr>
                              <w:t>J. Food Prot.</w:t>
                            </w:r>
                            <w:r w:rsidRPr="00540146">
                              <w:rPr>
                                <w:sz w:val="22"/>
                                <w:lang w:val="en-US"/>
                              </w:rPr>
                              <w:t xml:space="preserve"> 59: 127-135.</w:t>
                            </w:r>
                          </w:p>
                          <w:p w14:paraId="181E4E3D" w14:textId="77777777" w:rsidR="00011670" w:rsidRPr="00540146" w:rsidRDefault="00011670" w:rsidP="00011670">
                            <w:pPr>
                              <w:pStyle w:val="Inne0"/>
                              <w:spacing w:after="220"/>
                              <w:suppressOverlap/>
                              <w:rPr>
                                <w:sz w:val="22"/>
                                <w:szCs w:val="22"/>
                                <w:lang w:val="en-US"/>
                              </w:rPr>
                            </w:pPr>
                            <w:r w:rsidRPr="00540146">
                              <w:rPr>
                                <w:sz w:val="22"/>
                                <w:lang w:val="en-US"/>
                              </w:rPr>
                              <w:t>Model śmiertelności AMI (</w:t>
                            </w:r>
                            <w:r w:rsidRPr="00540146">
                              <w:rPr>
                                <w:i/>
                                <w:iCs/>
                                <w:sz w:val="22"/>
                                <w:lang w:val="en-US"/>
                              </w:rPr>
                              <w:t>AMI - acute mesenteric ischaemia - ostre niedokrwienie krezki</w:t>
                            </w:r>
                            <w:r w:rsidRPr="00540146">
                              <w:rPr>
                                <w:sz w:val="22"/>
                                <w:lang w:val="en-US"/>
                              </w:rPr>
                              <w:t>) wykazujący śmiertelność przy 160°F na powierzchni tuszy (</w:t>
                            </w:r>
                            <w:r w:rsidRPr="00540146">
                              <w:rPr>
                                <w:i/>
                                <w:iCs/>
                                <w:sz w:val="22"/>
                                <w:lang w:val="en-US"/>
                              </w:rPr>
                              <w:t>AMI Lethality model, demonstrating lethality at 160°F at carcass surface</w:t>
                            </w:r>
                            <w:r w:rsidRPr="00540146">
                              <w:rPr>
                                <w:sz w:val="22"/>
                                <w:lang w:val="en-US"/>
                              </w:rPr>
                              <w:t>).</w:t>
                            </w:r>
                          </w:p>
                          <w:p w14:paraId="5DAC3E45" w14:textId="77777777" w:rsidR="00011670" w:rsidRPr="00540146" w:rsidRDefault="00011670" w:rsidP="00011670">
                            <w:pPr>
                              <w:pStyle w:val="Inne0"/>
                              <w:spacing w:after="220"/>
                              <w:suppressOverlap/>
                              <w:rPr>
                                <w:sz w:val="22"/>
                                <w:szCs w:val="22"/>
                                <w:lang w:val="en-US"/>
                              </w:rPr>
                            </w:pPr>
                            <w:r w:rsidRPr="00540146">
                              <w:rPr>
                                <w:sz w:val="22"/>
                                <w:lang w:val="en-US"/>
                              </w:rPr>
                              <w:t>Nutsch, A.L., R.K. Phebus, M.J. Riemann, J.S. Kotrola, R.C. Wilson, J.E. Boyer i T.L. Brown. 1998. Pasteryzacja parowa komercyjnie ubijanych tusz wołowych: ocena populacji bakterii w pięciu lokalizacjach anatomicznych (</w:t>
                            </w:r>
                            <w:r w:rsidRPr="00540146">
                              <w:rPr>
                                <w:i/>
                                <w:iCs/>
                                <w:sz w:val="22"/>
                                <w:lang w:val="en-US"/>
                              </w:rPr>
                              <w:t>Steam pasteurization of commercially slaughtered beef carcasses: evaluation of bacterial populations at five anatomical locations</w:t>
                            </w:r>
                            <w:r w:rsidRPr="00540146">
                              <w:rPr>
                                <w:sz w:val="22"/>
                                <w:lang w:val="en-US"/>
                              </w:rPr>
                              <w:t xml:space="preserve">). </w:t>
                            </w:r>
                            <w:r w:rsidRPr="00540146">
                              <w:rPr>
                                <w:i/>
                                <w:sz w:val="22"/>
                                <w:lang w:val="en-US"/>
                              </w:rPr>
                              <w:t xml:space="preserve">J. Food Prot. </w:t>
                            </w:r>
                            <w:r w:rsidRPr="00540146">
                              <w:rPr>
                                <w:sz w:val="22"/>
                                <w:lang w:val="en-US"/>
                              </w:rPr>
                              <w:t>61-571-577</w:t>
                            </w:r>
                          </w:p>
                          <w:p w14:paraId="33DDBB2D" w14:textId="77777777" w:rsidR="00011670" w:rsidRPr="00540146" w:rsidRDefault="00011670" w:rsidP="00011670">
                            <w:pPr>
                              <w:pStyle w:val="Inne0"/>
                              <w:spacing w:after="0"/>
                              <w:suppressOverlap/>
                              <w:rPr>
                                <w:sz w:val="22"/>
                                <w:szCs w:val="22"/>
                                <w:lang w:val="en-US"/>
                              </w:rPr>
                            </w:pPr>
                            <w:r w:rsidRPr="00540146">
                              <w:rPr>
                                <w:sz w:val="22"/>
                                <w:lang w:val="en-US"/>
                              </w:rPr>
                              <w:t>Nutsch, A.L., R.K. Phebus, M.J.</w:t>
                            </w:r>
                          </w:p>
                          <w:p w14:paraId="5C628C95" w14:textId="77777777" w:rsidR="00011670" w:rsidRPr="009301DF" w:rsidRDefault="00011670" w:rsidP="00011670">
                            <w:pPr>
                              <w:pStyle w:val="Inne0"/>
                              <w:spacing w:after="220"/>
                              <w:suppressOverlap/>
                              <w:rPr>
                                <w:sz w:val="22"/>
                                <w:szCs w:val="22"/>
                              </w:rPr>
                            </w:pPr>
                            <w:r w:rsidRPr="00540146">
                              <w:rPr>
                                <w:sz w:val="22"/>
                                <w:lang w:val="en-US"/>
                              </w:rPr>
                              <w:t xml:space="preserve">Riemann, D.E. Schafer, J.E. Boyer, R.C. Wilson, J.D. Leising, C.L. Kastner. </w:t>
                            </w:r>
                            <w:r w:rsidRPr="009301DF">
                              <w:rPr>
                                <w:sz w:val="22"/>
                              </w:rPr>
                              <w:t>1997. Ocena procesu pasteryzacji parą wodną w komercyjnym zakładzie produkcji wołowiny (</w:t>
                            </w:r>
                            <w:r w:rsidRPr="009301DF">
                              <w:rPr>
                                <w:i/>
                                <w:iCs/>
                                <w:sz w:val="22"/>
                              </w:rPr>
                              <w:t>Evaluation of a Steam Pasteurization Process in a Commercial Beef Facility</w:t>
                            </w:r>
                            <w:r w:rsidRPr="009301DF">
                              <w:rPr>
                                <w:sz w:val="22"/>
                              </w:rPr>
                              <w:t xml:space="preserve">). </w:t>
                            </w:r>
                            <w:r w:rsidRPr="009301DF">
                              <w:rPr>
                                <w:i/>
                                <w:sz w:val="22"/>
                              </w:rPr>
                              <w:t>J. Food Prot.</w:t>
                            </w:r>
                            <w:r w:rsidRPr="009301DF">
                              <w:rPr>
                                <w:sz w:val="22"/>
                              </w:rPr>
                              <w:t xml:space="preserve"> 60-485-492</w:t>
                            </w:r>
                          </w:p>
                        </w:tc>
                        <w:tc>
                          <w:tcPr>
                            <w:tcW w:w="931" w:type="pct"/>
                            <w:tcBorders>
                              <w:top w:val="single" w:sz="4" w:space="0" w:color="auto"/>
                              <w:left w:val="single" w:sz="4" w:space="0" w:color="auto"/>
                              <w:bottom w:val="single" w:sz="4" w:space="0" w:color="auto"/>
                              <w:right w:val="single" w:sz="4" w:space="0" w:color="auto"/>
                            </w:tcBorders>
                            <w:shd w:val="clear" w:color="auto" w:fill="auto"/>
                          </w:tcPr>
                          <w:p w14:paraId="4BB804CC" w14:textId="77777777" w:rsidR="00011670" w:rsidRPr="009301DF" w:rsidRDefault="00011670" w:rsidP="00011670">
                            <w:pPr>
                              <w:pStyle w:val="Inne0"/>
                              <w:suppressOverlap/>
                              <w:rPr>
                                <w:sz w:val="22"/>
                                <w:szCs w:val="22"/>
                              </w:rPr>
                            </w:pPr>
                            <w:r w:rsidRPr="009301DF">
                              <w:rPr>
                                <w:sz w:val="22"/>
                              </w:rPr>
                              <w:t>Zapisy z monitoringu w zakładzie za okres 90 dni dokumentujące parametry krytyczne i raporty próbne przeprowadzone przy określonych parametrach krytycznych wykazujące całkowite pokrycie tuszy sprayem oraz temperaturę sprayu przy tuszy.</w:t>
                            </w:r>
                          </w:p>
                          <w:p w14:paraId="6D9CE9B0" w14:textId="77777777" w:rsidR="00011670" w:rsidRPr="009301DF" w:rsidRDefault="00011670" w:rsidP="00011670">
                            <w:pPr>
                              <w:pStyle w:val="Inne0"/>
                              <w:spacing w:after="0"/>
                              <w:suppressOverlap/>
                              <w:rPr>
                                <w:sz w:val="22"/>
                                <w:szCs w:val="22"/>
                              </w:rPr>
                            </w:pPr>
                            <w:r w:rsidRPr="009301DF">
                              <w:rPr>
                                <w:sz w:val="22"/>
                              </w:rPr>
                              <w:t>Zapisy z monitoringu w zakładzie dla 90-dniowego okresu mapowania temperatury.</w:t>
                            </w:r>
                          </w:p>
                        </w:tc>
                      </w:tr>
                    </w:tbl>
                    <w:p w14:paraId="31817DDE" w14:textId="77777777" w:rsidR="00011670" w:rsidRDefault="00011670"/>
                  </w:txbxContent>
                </v:textbox>
              </v:shape>
            </w:pict>
          </mc:Fallback>
        </mc:AlternateContent>
      </w:r>
    </w:p>
    <w:p w14:paraId="38954677" w14:textId="77777777" w:rsidR="00632C48" w:rsidRPr="00011670" w:rsidRDefault="00632C48" w:rsidP="00011670">
      <w:pPr>
        <w:sectPr w:rsidR="00632C48" w:rsidRPr="00011670">
          <w:pgSz w:w="15840" w:h="12240" w:orient="landscape"/>
          <w:pgMar w:top="360" w:right="360" w:bottom="360" w:left="360" w:header="0" w:footer="3" w:gutter="0"/>
          <w:cols w:space="720"/>
          <w:noEndnote/>
          <w:docGrid w:linePitch="360"/>
        </w:sectPr>
      </w:pPr>
    </w:p>
    <w:p w14:paraId="51BD149A"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356"/>
        <w:gridCol w:w="1546"/>
        <w:gridCol w:w="1257"/>
        <w:gridCol w:w="3330"/>
        <w:gridCol w:w="2073"/>
        <w:gridCol w:w="3609"/>
      </w:tblGrid>
      <w:tr w:rsidR="00632C48" w:rsidRPr="009301DF" w14:paraId="7F1FEC5C" w14:textId="77777777" w:rsidTr="002F0761">
        <w:trPr>
          <w:trHeight w:hRule="exact" w:val="430"/>
        </w:trPr>
        <w:tc>
          <w:tcPr>
            <w:tcW w:w="5000" w:type="pct"/>
            <w:gridSpan w:val="6"/>
            <w:shd w:val="clear" w:color="auto" w:fill="auto"/>
          </w:tcPr>
          <w:p w14:paraId="5DCC3BD3" w14:textId="77777777" w:rsidR="00632C48" w:rsidRPr="009301DF" w:rsidRDefault="005F6F63" w:rsidP="005F6F63">
            <w:pPr>
              <w:pStyle w:val="Inne0"/>
              <w:framePr w:w="13171" w:h="8059" w:wrap="none" w:vAnchor="page" w:hAnchor="page" w:x="687" w:y="735"/>
              <w:spacing w:after="0"/>
            </w:pPr>
            <w:r w:rsidRPr="009301DF">
              <w:t>Wyłącznie do celów ilustracyjnych</w:t>
            </w:r>
          </w:p>
        </w:tc>
      </w:tr>
      <w:tr w:rsidR="00632C48" w:rsidRPr="009301DF" w14:paraId="7562A4F5" w14:textId="77777777" w:rsidTr="00011670">
        <w:trPr>
          <w:trHeight w:hRule="exact" w:val="559"/>
        </w:trPr>
        <w:tc>
          <w:tcPr>
            <w:tcW w:w="515" w:type="pct"/>
            <w:vMerge w:val="restart"/>
            <w:tcBorders>
              <w:top w:val="single" w:sz="4" w:space="0" w:color="auto"/>
              <w:left w:val="single" w:sz="4" w:space="0" w:color="auto"/>
            </w:tcBorders>
            <w:shd w:val="clear" w:color="auto" w:fill="auto"/>
          </w:tcPr>
          <w:p w14:paraId="06BB760B" w14:textId="77777777" w:rsidR="00632C48" w:rsidRPr="009301DF" w:rsidRDefault="005F6F63">
            <w:pPr>
              <w:pStyle w:val="Inne0"/>
              <w:framePr w:w="13171" w:h="8059" w:wrap="none" w:vAnchor="page" w:hAnchor="page" w:x="687" w:y="735"/>
              <w:spacing w:after="0"/>
              <w:rPr>
                <w:sz w:val="22"/>
                <w:szCs w:val="22"/>
              </w:rPr>
            </w:pPr>
            <w:r w:rsidRPr="009301DF">
              <w:rPr>
                <w:sz w:val="22"/>
              </w:rPr>
              <w:t>Produkt</w:t>
            </w:r>
          </w:p>
        </w:tc>
        <w:tc>
          <w:tcPr>
            <w:tcW w:w="587" w:type="pct"/>
            <w:vMerge w:val="restart"/>
            <w:tcBorders>
              <w:top w:val="single" w:sz="4" w:space="0" w:color="auto"/>
              <w:left w:val="single" w:sz="4" w:space="0" w:color="auto"/>
            </w:tcBorders>
            <w:shd w:val="clear" w:color="auto" w:fill="auto"/>
          </w:tcPr>
          <w:p w14:paraId="60AC37C5"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Zagrożenie:</w:t>
            </w:r>
          </w:p>
        </w:tc>
        <w:tc>
          <w:tcPr>
            <w:tcW w:w="477" w:type="pct"/>
            <w:vMerge w:val="restart"/>
            <w:tcBorders>
              <w:top w:val="single" w:sz="4" w:space="0" w:color="auto"/>
              <w:left w:val="single" w:sz="4" w:space="0" w:color="auto"/>
            </w:tcBorders>
            <w:shd w:val="clear" w:color="auto" w:fill="auto"/>
          </w:tcPr>
          <w:p w14:paraId="49E46E1C"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Proces</w:t>
            </w:r>
          </w:p>
        </w:tc>
        <w:tc>
          <w:tcPr>
            <w:tcW w:w="1264" w:type="pct"/>
            <w:vMerge w:val="restart"/>
            <w:tcBorders>
              <w:top w:val="single" w:sz="4" w:space="0" w:color="auto"/>
              <w:left w:val="single" w:sz="4" w:space="0" w:color="auto"/>
            </w:tcBorders>
            <w:shd w:val="clear" w:color="auto" w:fill="auto"/>
          </w:tcPr>
          <w:p w14:paraId="5B611770"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Krytyczne parametry operacyjne</w:t>
            </w:r>
          </w:p>
        </w:tc>
        <w:tc>
          <w:tcPr>
            <w:tcW w:w="2156" w:type="pct"/>
            <w:gridSpan w:val="2"/>
            <w:tcBorders>
              <w:top w:val="single" w:sz="4" w:space="0" w:color="auto"/>
              <w:left w:val="single" w:sz="4" w:space="0" w:color="auto"/>
              <w:right w:val="single" w:sz="4" w:space="0" w:color="auto"/>
            </w:tcBorders>
            <w:shd w:val="clear" w:color="auto" w:fill="auto"/>
          </w:tcPr>
          <w:p w14:paraId="36CD19C6"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Potwierdzenie</w:t>
            </w:r>
          </w:p>
        </w:tc>
      </w:tr>
      <w:tr w:rsidR="00632C48" w:rsidRPr="009301DF" w14:paraId="04A4E723" w14:textId="77777777" w:rsidTr="00011670">
        <w:trPr>
          <w:trHeight w:hRule="exact" w:val="665"/>
        </w:trPr>
        <w:tc>
          <w:tcPr>
            <w:tcW w:w="515" w:type="pct"/>
            <w:vMerge/>
            <w:tcBorders>
              <w:left w:val="single" w:sz="4" w:space="0" w:color="auto"/>
            </w:tcBorders>
            <w:shd w:val="clear" w:color="auto" w:fill="auto"/>
          </w:tcPr>
          <w:p w14:paraId="645F37A6" w14:textId="77777777" w:rsidR="00632C48" w:rsidRPr="009301DF" w:rsidRDefault="00632C48">
            <w:pPr>
              <w:framePr w:w="13171" w:h="8059" w:wrap="none" w:vAnchor="page" w:hAnchor="page" w:x="687" w:y="735"/>
            </w:pPr>
          </w:p>
        </w:tc>
        <w:tc>
          <w:tcPr>
            <w:tcW w:w="587" w:type="pct"/>
            <w:vMerge/>
            <w:tcBorders>
              <w:left w:val="single" w:sz="4" w:space="0" w:color="auto"/>
            </w:tcBorders>
            <w:shd w:val="clear" w:color="auto" w:fill="auto"/>
          </w:tcPr>
          <w:p w14:paraId="33E6C3D5" w14:textId="77777777" w:rsidR="00632C48" w:rsidRPr="009301DF" w:rsidRDefault="00632C48" w:rsidP="005F6F63">
            <w:pPr>
              <w:framePr w:w="13171" w:h="8059" w:wrap="none" w:vAnchor="page" w:hAnchor="page" w:x="687" w:y="735"/>
            </w:pPr>
          </w:p>
        </w:tc>
        <w:tc>
          <w:tcPr>
            <w:tcW w:w="477" w:type="pct"/>
            <w:vMerge/>
            <w:tcBorders>
              <w:left w:val="single" w:sz="4" w:space="0" w:color="auto"/>
            </w:tcBorders>
            <w:shd w:val="clear" w:color="auto" w:fill="auto"/>
          </w:tcPr>
          <w:p w14:paraId="36F384C4" w14:textId="77777777" w:rsidR="00632C48" w:rsidRPr="009301DF" w:rsidRDefault="00632C48" w:rsidP="005F6F63">
            <w:pPr>
              <w:framePr w:w="13171" w:h="8059" w:wrap="none" w:vAnchor="page" w:hAnchor="page" w:x="687" w:y="735"/>
            </w:pPr>
          </w:p>
        </w:tc>
        <w:tc>
          <w:tcPr>
            <w:tcW w:w="1264" w:type="pct"/>
            <w:vMerge/>
            <w:tcBorders>
              <w:left w:val="single" w:sz="4" w:space="0" w:color="auto"/>
            </w:tcBorders>
            <w:shd w:val="clear" w:color="auto" w:fill="auto"/>
          </w:tcPr>
          <w:p w14:paraId="37392A7F" w14:textId="77777777" w:rsidR="00632C48" w:rsidRPr="009301DF" w:rsidRDefault="00632C48" w:rsidP="005F6F63">
            <w:pPr>
              <w:framePr w:w="13171" w:h="8059" w:wrap="none" w:vAnchor="page" w:hAnchor="page" w:x="687" w:y="735"/>
            </w:pPr>
          </w:p>
        </w:tc>
        <w:tc>
          <w:tcPr>
            <w:tcW w:w="787" w:type="pct"/>
            <w:tcBorders>
              <w:top w:val="single" w:sz="4" w:space="0" w:color="auto"/>
              <w:left w:val="single" w:sz="4" w:space="0" w:color="auto"/>
            </w:tcBorders>
            <w:shd w:val="clear" w:color="auto" w:fill="auto"/>
          </w:tcPr>
          <w:p w14:paraId="14D4F93B" w14:textId="5DB331DF" w:rsidR="00632C48" w:rsidRPr="009301DF" w:rsidRDefault="005F6F63" w:rsidP="005F6F63">
            <w:pPr>
              <w:pStyle w:val="Inne0"/>
              <w:framePr w:w="13171" w:h="8059" w:wrap="none" w:vAnchor="page" w:hAnchor="page" w:x="687" w:y="735"/>
              <w:spacing w:after="0"/>
              <w:rPr>
                <w:sz w:val="22"/>
                <w:szCs w:val="22"/>
              </w:rPr>
            </w:pPr>
            <w:r w:rsidRPr="009301DF">
              <w:rPr>
                <w:sz w:val="22"/>
              </w:rPr>
              <w:t>Wsparcie naukowe lub techniczne</w:t>
            </w:r>
          </w:p>
        </w:tc>
        <w:tc>
          <w:tcPr>
            <w:tcW w:w="1369" w:type="pct"/>
            <w:tcBorders>
              <w:top w:val="single" w:sz="4" w:space="0" w:color="auto"/>
              <w:left w:val="single" w:sz="4" w:space="0" w:color="auto"/>
              <w:right w:val="single" w:sz="4" w:space="0" w:color="auto"/>
            </w:tcBorders>
            <w:shd w:val="clear" w:color="auto" w:fill="auto"/>
          </w:tcPr>
          <w:p w14:paraId="496A0DEC"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Wewnątrzzakładowe dane walidacyjne</w:t>
            </w:r>
          </w:p>
        </w:tc>
      </w:tr>
      <w:tr w:rsidR="00632C48" w:rsidRPr="009301DF" w14:paraId="0C81960D" w14:textId="77777777" w:rsidTr="00011670">
        <w:trPr>
          <w:trHeight w:hRule="exact" w:val="6905"/>
        </w:trPr>
        <w:tc>
          <w:tcPr>
            <w:tcW w:w="515" w:type="pct"/>
            <w:tcBorders>
              <w:top w:val="single" w:sz="4" w:space="0" w:color="auto"/>
              <w:left w:val="single" w:sz="4" w:space="0" w:color="auto"/>
              <w:bottom w:val="single" w:sz="4" w:space="0" w:color="auto"/>
            </w:tcBorders>
            <w:shd w:val="clear" w:color="auto" w:fill="auto"/>
          </w:tcPr>
          <w:p w14:paraId="4543D95F" w14:textId="77777777" w:rsidR="00632C48" w:rsidRPr="009301DF" w:rsidRDefault="005F6F63">
            <w:pPr>
              <w:pStyle w:val="Inne0"/>
              <w:framePr w:w="13171" w:h="8059" w:wrap="none" w:vAnchor="page" w:hAnchor="page" w:x="687" w:y="735"/>
              <w:spacing w:after="0"/>
              <w:rPr>
                <w:sz w:val="22"/>
                <w:szCs w:val="22"/>
              </w:rPr>
            </w:pPr>
            <w:r w:rsidRPr="009301DF">
              <w:rPr>
                <w:sz w:val="22"/>
              </w:rPr>
              <w:t>Tusza wołowa</w:t>
            </w:r>
          </w:p>
        </w:tc>
        <w:tc>
          <w:tcPr>
            <w:tcW w:w="587" w:type="pct"/>
            <w:tcBorders>
              <w:top w:val="single" w:sz="4" w:space="0" w:color="auto"/>
              <w:left w:val="single" w:sz="4" w:space="0" w:color="auto"/>
              <w:bottom w:val="single" w:sz="4" w:space="0" w:color="auto"/>
            </w:tcBorders>
            <w:shd w:val="clear" w:color="auto" w:fill="auto"/>
          </w:tcPr>
          <w:p w14:paraId="56F6D911"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 xml:space="preserve">Biologiczne - </w:t>
            </w:r>
            <w:r w:rsidRPr="009301DF">
              <w:rPr>
                <w:i/>
                <w:iCs/>
                <w:sz w:val="22"/>
              </w:rPr>
              <w:t>E. coli O157:H7, Salmonella Typhimurium</w:t>
            </w:r>
          </w:p>
        </w:tc>
        <w:tc>
          <w:tcPr>
            <w:tcW w:w="477" w:type="pct"/>
            <w:tcBorders>
              <w:top w:val="single" w:sz="4" w:space="0" w:color="auto"/>
              <w:left w:val="single" w:sz="4" w:space="0" w:color="auto"/>
              <w:bottom w:val="single" w:sz="4" w:space="0" w:color="auto"/>
            </w:tcBorders>
            <w:shd w:val="clear" w:color="auto" w:fill="auto"/>
          </w:tcPr>
          <w:p w14:paraId="287DDB38" w14:textId="694A723B" w:rsidR="00632C48" w:rsidRPr="009301DF" w:rsidRDefault="005F6F63" w:rsidP="005F6F63">
            <w:pPr>
              <w:pStyle w:val="Inne0"/>
              <w:framePr w:w="13171" w:h="8059" w:wrap="none" w:vAnchor="page" w:hAnchor="page" w:x="687" w:y="735"/>
              <w:spacing w:after="0"/>
              <w:rPr>
                <w:sz w:val="22"/>
                <w:szCs w:val="22"/>
              </w:rPr>
            </w:pPr>
            <w:r w:rsidRPr="009301DF">
              <w:rPr>
                <w:sz w:val="22"/>
              </w:rPr>
              <w:t>Spray z kwasem mlekowym</w:t>
            </w:r>
          </w:p>
        </w:tc>
        <w:tc>
          <w:tcPr>
            <w:tcW w:w="1264" w:type="pct"/>
            <w:tcBorders>
              <w:top w:val="single" w:sz="4" w:space="0" w:color="auto"/>
              <w:left w:val="single" w:sz="4" w:space="0" w:color="auto"/>
              <w:bottom w:val="single" w:sz="4" w:space="0" w:color="auto"/>
            </w:tcBorders>
            <w:shd w:val="clear" w:color="auto" w:fill="auto"/>
          </w:tcPr>
          <w:p w14:paraId="7F4FB2E1" w14:textId="77777777" w:rsidR="00632C48" w:rsidRPr="009301DF" w:rsidRDefault="005F6F63" w:rsidP="005F6F63">
            <w:pPr>
              <w:pStyle w:val="Inne0"/>
              <w:framePr w:w="13171" w:h="8059" w:wrap="none" w:vAnchor="page" w:hAnchor="page" w:x="687" w:y="735"/>
              <w:rPr>
                <w:sz w:val="22"/>
                <w:szCs w:val="22"/>
              </w:rPr>
            </w:pPr>
            <w:r w:rsidRPr="009301DF">
              <w:rPr>
                <w:sz w:val="22"/>
              </w:rPr>
              <w:t>2% kwas mlekowy zastosowany z odległości 12 cali od powierzchni tuszy i pokrywający całą tuszę przy użyciu zbiornika natryskowego ze stali nierdzewnej wyposażonego w manometr i sprężarkę powietrza.</w:t>
            </w:r>
          </w:p>
          <w:p w14:paraId="2F8E6324" w14:textId="77777777" w:rsidR="00632C48" w:rsidRPr="009301DF" w:rsidRDefault="005F6F63" w:rsidP="005F6F63">
            <w:pPr>
              <w:pStyle w:val="Inne0"/>
              <w:framePr w:w="13171" w:h="8059" w:wrap="none" w:vAnchor="page" w:hAnchor="page" w:x="687" w:y="735"/>
              <w:rPr>
                <w:sz w:val="22"/>
                <w:szCs w:val="22"/>
              </w:rPr>
            </w:pPr>
            <w:r w:rsidRPr="009301DF">
              <w:rPr>
                <w:sz w:val="22"/>
              </w:rPr>
              <w:t>Każda strona wołowiny powinna być spryskiwana przez co najmniej 1 minutę począwszy od góry do dołu, a wystarczająca ilość kwasu mlekowego nakładana tak, aby część z niego ociekła.</w:t>
            </w:r>
          </w:p>
          <w:p w14:paraId="047E2A3B" w14:textId="77777777" w:rsidR="00632C48" w:rsidRPr="009301DF" w:rsidRDefault="005F6F63" w:rsidP="005F6F63">
            <w:pPr>
              <w:pStyle w:val="Inne0"/>
              <w:framePr w:w="13171" w:h="8059" w:wrap="none" w:vAnchor="page" w:hAnchor="page" w:x="687" w:y="735"/>
              <w:rPr>
                <w:sz w:val="22"/>
                <w:szCs w:val="22"/>
              </w:rPr>
            </w:pPr>
            <w:r w:rsidRPr="009301DF">
              <w:rPr>
                <w:sz w:val="22"/>
              </w:rPr>
              <w:t>Uwaga: Cała tusza jest spryskiwana kwasem mlekowym po umyciu każdej strony wołowiny od góry do dołu przez co najmniej 2 minuty gorącą wodą i odczekaniu 5 minut po takim umyciu (ociekanie).</w:t>
            </w:r>
          </w:p>
        </w:tc>
        <w:tc>
          <w:tcPr>
            <w:tcW w:w="787" w:type="pct"/>
            <w:tcBorders>
              <w:top w:val="single" w:sz="4" w:space="0" w:color="auto"/>
              <w:left w:val="single" w:sz="4" w:space="0" w:color="auto"/>
              <w:bottom w:val="single" w:sz="4" w:space="0" w:color="auto"/>
            </w:tcBorders>
            <w:shd w:val="clear" w:color="auto" w:fill="auto"/>
          </w:tcPr>
          <w:p w14:paraId="7726DE37" w14:textId="77777777" w:rsidR="00632C48" w:rsidRPr="00540146" w:rsidRDefault="005F6F63" w:rsidP="005F6F63">
            <w:pPr>
              <w:pStyle w:val="Inne0"/>
              <w:framePr w:w="13171" w:h="8059" w:wrap="none" w:vAnchor="page" w:hAnchor="page" w:x="687" w:y="735"/>
              <w:spacing w:after="0"/>
              <w:rPr>
                <w:sz w:val="22"/>
                <w:szCs w:val="22"/>
                <w:lang w:val="en-US"/>
              </w:rPr>
            </w:pPr>
            <w:r w:rsidRPr="009301DF">
              <w:rPr>
                <w:sz w:val="22"/>
              </w:rPr>
              <w:t>Antybakteryjna obróbka natryskowa tusz mięsa czerwonego (</w:t>
            </w:r>
            <w:r w:rsidRPr="009301DF">
              <w:rPr>
                <w:i/>
                <w:iCs/>
                <w:sz w:val="22"/>
              </w:rPr>
              <w:t>tzw. mięso czerwone - pochodzące z dużych zwierząt rzeźnych a także łowczych</w:t>
            </w:r>
            <w:r w:rsidRPr="009301DF">
              <w:rPr>
                <w:sz w:val="22"/>
              </w:rPr>
              <w:t xml:space="preserve">) przetwarzanego w bardzo małych zakładach mięsnych. </w:t>
            </w:r>
            <w:r w:rsidRPr="00540146">
              <w:rPr>
                <w:sz w:val="22"/>
                <w:lang w:val="en-US"/>
              </w:rPr>
              <w:t>Uniwersytet Stanowy w Pensylwanii. 2005.</w:t>
            </w:r>
          </w:p>
          <w:p w14:paraId="2927DA72" w14:textId="77777777" w:rsidR="00632C48" w:rsidRPr="00540146" w:rsidRDefault="005F6F63" w:rsidP="005F6F63">
            <w:pPr>
              <w:pStyle w:val="Inne0"/>
              <w:framePr w:w="13171" w:h="8059" w:wrap="none" w:vAnchor="page" w:hAnchor="page" w:x="687" w:y="735"/>
              <w:spacing w:after="0"/>
              <w:rPr>
                <w:sz w:val="22"/>
                <w:szCs w:val="22"/>
                <w:lang w:val="en-US"/>
              </w:rPr>
            </w:pPr>
            <w:hyperlink r:id="rId77" w:history="1">
              <w:r w:rsidRPr="00540146">
                <w:rPr>
                  <w:color w:val="0000FF"/>
                  <w:sz w:val="22"/>
                  <w:u w:val="single"/>
                  <w:lang w:val="en-US"/>
                </w:rPr>
                <w:t>http://www.meatha</w:t>
              </w:r>
            </w:hyperlink>
            <w:r w:rsidRPr="00540146">
              <w:rPr>
                <w:color w:val="0000FF"/>
                <w:sz w:val="22"/>
                <w:u w:val="single"/>
                <w:lang w:val="en-US"/>
              </w:rPr>
              <w:t xml:space="preserve"> </w:t>
            </w:r>
            <w:hyperlink r:id="rId78" w:history="1">
              <w:r w:rsidRPr="00540146">
                <w:rPr>
                  <w:color w:val="0000FF"/>
                  <w:sz w:val="22"/>
                  <w:u w:val="single"/>
                  <w:lang w:val="en-US"/>
                </w:rPr>
                <w:t>ccp.wisc.edu/valid</w:t>
              </w:r>
            </w:hyperlink>
            <w:r w:rsidRPr="00540146">
              <w:rPr>
                <w:color w:val="0000FF"/>
                <w:sz w:val="22"/>
                <w:u w:val="single"/>
                <w:lang w:val="en-US"/>
              </w:rPr>
              <w:t xml:space="preserve"> </w:t>
            </w:r>
            <w:hyperlink r:id="rId79" w:history="1">
              <w:r w:rsidRPr="00540146">
                <w:rPr>
                  <w:color w:val="0000FF"/>
                  <w:sz w:val="22"/>
                  <w:u w:val="single"/>
                  <w:lang w:val="en-US"/>
                </w:rPr>
                <w:t>ation/assets/acid</w:t>
              </w:r>
            </w:hyperlink>
            <w:r w:rsidRPr="00540146">
              <w:rPr>
                <w:color w:val="0000FF"/>
                <w:sz w:val="22"/>
                <w:u w:val="single"/>
                <w:lang w:val="en-US"/>
              </w:rPr>
              <w:t xml:space="preserve"> </w:t>
            </w:r>
            <w:hyperlink r:id="rId80" w:history="1">
              <w:r w:rsidRPr="00540146">
                <w:rPr>
                  <w:color w:val="0000FF"/>
                  <w:sz w:val="22"/>
                  <w:u w:val="single"/>
                  <w:lang w:val="en-US"/>
                </w:rPr>
                <w:t>spray intervention</w:t>
              </w:r>
            </w:hyperlink>
            <w:r w:rsidRPr="00540146">
              <w:rPr>
                <w:color w:val="0000FF"/>
                <w:sz w:val="22"/>
                <w:u w:val="single"/>
                <w:lang w:val="en-US"/>
              </w:rPr>
              <w:t xml:space="preserve"> </w:t>
            </w:r>
            <w:hyperlink r:id="rId81" w:history="1">
              <w:r w:rsidRPr="00540146">
                <w:rPr>
                  <w:color w:val="0000FF"/>
                  <w:sz w:val="22"/>
                  <w:u w:val="single"/>
                  <w:lang w:val="en-US"/>
                </w:rPr>
                <w:t>booklet from Pe</w:t>
              </w:r>
            </w:hyperlink>
          </w:p>
          <w:p w14:paraId="78F401A1" w14:textId="77777777" w:rsidR="00632C48" w:rsidRPr="009301DF" w:rsidRDefault="005F6F63" w:rsidP="005F6F63">
            <w:pPr>
              <w:pStyle w:val="Inne0"/>
              <w:framePr w:w="13171" w:h="8059" w:wrap="none" w:vAnchor="page" w:hAnchor="page" w:x="687" w:y="735"/>
              <w:spacing w:after="220"/>
              <w:rPr>
                <w:sz w:val="22"/>
                <w:szCs w:val="22"/>
              </w:rPr>
            </w:pPr>
            <w:hyperlink r:id="rId82" w:history="1">
              <w:r w:rsidRPr="009301DF">
                <w:rPr>
                  <w:color w:val="0000FF"/>
                  <w:sz w:val="22"/>
                  <w:u w:val="single"/>
                </w:rPr>
                <w:t>nn State 2005.pd</w:t>
              </w:r>
            </w:hyperlink>
            <w:r w:rsidRPr="009301DF">
              <w:rPr>
                <w:color w:val="0000FF"/>
                <w:sz w:val="22"/>
                <w:u w:val="single"/>
              </w:rPr>
              <w:t xml:space="preserve"> </w:t>
            </w:r>
            <w:hyperlink r:id="rId83" w:history="1">
              <w:r w:rsidRPr="009301DF">
                <w:rPr>
                  <w:color w:val="0000FF"/>
                  <w:sz w:val="22"/>
                </w:rPr>
                <w:t>f</w:t>
              </w:r>
              <w:r w:rsidRPr="009301DF">
                <w:rPr>
                  <w:sz w:val="22"/>
                </w:rPr>
                <w:t>.</w:t>
              </w:r>
            </w:hyperlink>
          </w:p>
          <w:p w14:paraId="43EF82DC"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Dyrektywa FSIS 7120.1</w:t>
            </w:r>
          </w:p>
        </w:tc>
        <w:tc>
          <w:tcPr>
            <w:tcW w:w="1369" w:type="pct"/>
            <w:tcBorders>
              <w:top w:val="single" w:sz="4" w:space="0" w:color="auto"/>
              <w:left w:val="single" w:sz="4" w:space="0" w:color="auto"/>
              <w:bottom w:val="single" w:sz="4" w:space="0" w:color="auto"/>
              <w:right w:val="single" w:sz="4" w:space="0" w:color="auto"/>
            </w:tcBorders>
            <w:shd w:val="clear" w:color="auto" w:fill="auto"/>
          </w:tcPr>
          <w:p w14:paraId="567C180C" w14:textId="77777777" w:rsidR="00632C48" w:rsidRPr="009301DF" w:rsidRDefault="005F6F63" w:rsidP="005F6F63">
            <w:pPr>
              <w:pStyle w:val="Inne0"/>
              <w:framePr w:w="13171" w:h="8059" w:wrap="none" w:vAnchor="page" w:hAnchor="page" w:x="687" w:y="735"/>
              <w:rPr>
                <w:sz w:val="22"/>
                <w:szCs w:val="22"/>
              </w:rPr>
            </w:pPr>
            <w:r w:rsidRPr="009301DF">
              <w:rPr>
                <w:sz w:val="22"/>
              </w:rPr>
              <w:t>Zapisy monitorowania w zakładzie przez okres 90 dni zapisane w arkuszu kontrolnym monitorowania gorącej wody i czasu ociekania (w tym parametry dotyczące czasu spryskiwania tuszy gorącą wodą, pokrycia tuszy, metody aplikacji (od góry do dołu + dysza rozpylająca z odległości 12 cali od tuszy) oraz czas ociekania).</w:t>
            </w:r>
          </w:p>
          <w:p w14:paraId="71B3744D" w14:textId="77777777" w:rsidR="00632C48" w:rsidRPr="009301DF" w:rsidRDefault="005F6F63" w:rsidP="005F6F63">
            <w:pPr>
              <w:pStyle w:val="Inne0"/>
              <w:framePr w:w="13171" w:h="8059" w:wrap="none" w:vAnchor="page" w:hAnchor="page" w:x="687" w:y="735"/>
              <w:spacing w:after="0"/>
              <w:rPr>
                <w:sz w:val="22"/>
                <w:szCs w:val="22"/>
              </w:rPr>
            </w:pPr>
            <w:r w:rsidRPr="009301DF">
              <w:rPr>
                <w:sz w:val="22"/>
              </w:rPr>
              <w:t>Zapisy stężenia kwasu mlekowego. Raporty z prób przeprowadzonych przy określonych parametrach krytycznych kwasu mlekowego wykazujące całkowite pokrycie tuszy, wystarczającą ilość (kwas mlekowy ocieka z tuszy), czas kontaktu, metodę aplikacji (dysza rozpylająca z odległości 12 cali od tuszy i od góry do dołu).</w:t>
            </w:r>
          </w:p>
        </w:tc>
      </w:tr>
    </w:tbl>
    <w:p w14:paraId="62662FBC"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05423649" w14:textId="46ABC00E" w:rsidR="00632C48" w:rsidRPr="009301DF" w:rsidRDefault="002F0761">
      <w:pPr>
        <w:spacing w:line="1" w:lineRule="exact"/>
      </w:pPr>
      <w:r>
        <w:rPr>
          <w:noProof/>
        </w:rPr>
        <w:lastRenderedPageBreak/>
        <mc:AlternateContent>
          <mc:Choice Requires="wps">
            <w:drawing>
              <wp:anchor distT="0" distB="0" distL="114300" distR="114300" simplePos="0" relativeHeight="251660288" behindDoc="0" locked="0" layoutInCell="1" allowOverlap="1" wp14:anchorId="45F3B21A" wp14:editId="4AE41EBC">
                <wp:simplePos x="0" y="0"/>
                <wp:positionH relativeFrom="column">
                  <wp:posOffset>246888</wp:posOffset>
                </wp:positionH>
                <wp:positionV relativeFrom="paragraph">
                  <wp:posOffset>166421</wp:posOffset>
                </wp:positionV>
                <wp:extent cx="8463686" cy="7293254"/>
                <wp:effectExtent l="0" t="0" r="0" b="3175"/>
                <wp:wrapNone/>
                <wp:docPr id="1151947503" name="Pole tekstowe 2"/>
                <wp:cNvGraphicFramePr/>
                <a:graphic xmlns:a="http://schemas.openxmlformats.org/drawingml/2006/main">
                  <a:graphicData uri="http://schemas.microsoft.com/office/word/2010/wordprocessingShape">
                    <wps:wsp>
                      <wps:cNvSpPr txBox="1"/>
                      <wps:spPr>
                        <a:xfrm>
                          <a:off x="0" y="0"/>
                          <a:ext cx="8463686" cy="7293254"/>
                        </a:xfrm>
                        <a:prstGeom prst="rect">
                          <a:avLst/>
                        </a:prstGeom>
                        <a:solidFill>
                          <a:schemeClr val="lt1"/>
                        </a:solidFill>
                        <a:ln w="6350">
                          <a:noFill/>
                        </a:ln>
                      </wps:spPr>
                      <wps:txbx>
                        <w:txbxContent>
                          <w:tbl>
                            <w:tblPr>
                              <w:tblOverlap w:val="never"/>
                              <w:tblW w:w="5000" w:type="pct"/>
                              <w:tblCellMar>
                                <w:left w:w="10" w:type="dxa"/>
                                <w:right w:w="10" w:type="dxa"/>
                              </w:tblCellMar>
                              <w:tblLook w:val="04A0" w:firstRow="1" w:lastRow="0" w:firstColumn="1" w:lastColumn="0" w:noHBand="0" w:noVBand="1"/>
                            </w:tblPr>
                            <w:tblGrid>
                              <w:gridCol w:w="1260"/>
                              <w:gridCol w:w="1288"/>
                              <w:gridCol w:w="1202"/>
                              <w:gridCol w:w="2333"/>
                              <w:gridCol w:w="3173"/>
                              <w:gridCol w:w="3789"/>
                            </w:tblGrid>
                            <w:tr w:rsidR="002F0761" w:rsidRPr="009301DF" w14:paraId="66AD63B2" w14:textId="77777777" w:rsidTr="002F0761">
                              <w:trPr>
                                <w:trHeight w:hRule="exact" w:val="422"/>
                              </w:trPr>
                              <w:tc>
                                <w:tcPr>
                                  <w:tcW w:w="5000" w:type="pct"/>
                                  <w:gridSpan w:val="6"/>
                                  <w:shd w:val="clear" w:color="auto" w:fill="auto"/>
                                </w:tcPr>
                                <w:p w14:paraId="7CF88FB1" w14:textId="77777777" w:rsidR="002F0761" w:rsidRPr="009301DF" w:rsidRDefault="002F0761" w:rsidP="002F0761">
                                  <w:pPr>
                                    <w:pStyle w:val="Inne0"/>
                                    <w:spacing w:after="0"/>
                                    <w:ind w:hanging="12"/>
                                  </w:pPr>
                                  <w:r w:rsidRPr="009301DF">
                                    <w:t>Wyłącznie do celów ilustracyjnych</w:t>
                                  </w:r>
                                </w:p>
                              </w:tc>
                            </w:tr>
                            <w:tr w:rsidR="002F0761" w:rsidRPr="009301DF" w14:paraId="28EB48E6" w14:textId="77777777" w:rsidTr="00981231">
                              <w:trPr>
                                <w:trHeight w:hRule="exact" w:val="530"/>
                              </w:trPr>
                              <w:tc>
                                <w:tcPr>
                                  <w:tcW w:w="484" w:type="pct"/>
                                  <w:vMerge w:val="restart"/>
                                  <w:tcBorders>
                                    <w:top w:val="single" w:sz="4" w:space="0" w:color="auto"/>
                                    <w:left w:val="single" w:sz="4" w:space="0" w:color="auto"/>
                                  </w:tcBorders>
                                  <w:shd w:val="clear" w:color="auto" w:fill="auto"/>
                                </w:tcPr>
                                <w:p w14:paraId="24D6A12C" w14:textId="77777777" w:rsidR="002F0761" w:rsidRPr="009301DF" w:rsidRDefault="002F0761" w:rsidP="002F0761">
                                  <w:pPr>
                                    <w:pStyle w:val="Inne0"/>
                                    <w:spacing w:after="0"/>
                                  </w:pPr>
                                  <w:r w:rsidRPr="009301DF">
                                    <w:t>Produkt</w:t>
                                  </w:r>
                                </w:p>
                              </w:tc>
                              <w:tc>
                                <w:tcPr>
                                  <w:tcW w:w="489" w:type="pct"/>
                                  <w:vMerge w:val="restart"/>
                                  <w:tcBorders>
                                    <w:top w:val="single" w:sz="4" w:space="0" w:color="auto"/>
                                    <w:left w:val="single" w:sz="4" w:space="0" w:color="auto"/>
                                  </w:tcBorders>
                                  <w:shd w:val="clear" w:color="auto" w:fill="auto"/>
                                </w:tcPr>
                                <w:p w14:paraId="58F1D1FA" w14:textId="77777777" w:rsidR="002F0761" w:rsidRPr="009301DF" w:rsidRDefault="002F0761" w:rsidP="002F0761">
                                  <w:pPr>
                                    <w:pStyle w:val="Inne0"/>
                                    <w:spacing w:after="0"/>
                                  </w:pPr>
                                  <w:r w:rsidRPr="009301DF">
                                    <w:t>Zagrożenie:</w:t>
                                  </w:r>
                                </w:p>
                              </w:tc>
                              <w:tc>
                                <w:tcPr>
                                  <w:tcW w:w="462" w:type="pct"/>
                                  <w:vMerge w:val="restart"/>
                                  <w:tcBorders>
                                    <w:top w:val="single" w:sz="4" w:space="0" w:color="auto"/>
                                    <w:left w:val="single" w:sz="4" w:space="0" w:color="auto"/>
                                  </w:tcBorders>
                                  <w:shd w:val="clear" w:color="auto" w:fill="auto"/>
                                </w:tcPr>
                                <w:p w14:paraId="5011381D" w14:textId="77777777" w:rsidR="002F0761" w:rsidRPr="009301DF" w:rsidRDefault="002F0761" w:rsidP="002F0761">
                                  <w:pPr>
                                    <w:pStyle w:val="Inne0"/>
                                    <w:spacing w:after="0"/>
                                  </w:pPr>
                                  <w:r w:rsidRPr="009301DF">
                                    <w:t>Proces</w:t>
                                  </w:r>
                                </w:p>
                              </w:tc>
                              <w:tc>
                                <w:tcPr>
                                  <w:tcW w:w="895" w:type="pct"/>
                                  <w:vMerge w:val="restart"/>
                                  <w:tcBorders>
                                    <w:top w:val="single" w:sz="4" w:space="0" w:color="auto"/>
                                    <w:left w:val="single" w:sz="4" w:space="0" w:color="auto"/>
                                  </w:tcBorders>
                                  <w:shd w:val="clear" w:color="auto" w:fill="auto"/>
                                </w:tcPr>
                                <w:p w14:paraId="3FA297A3" w14:textId="77777777" w:rsidR="002F0761" w:rsidRPr="009301DF" w:rsidRDefault="002F0761" w:rsidP="002F0761">
                                  <w:pPr>
                                    <w:pStyle w:val="Inne0"/>
                                    <w:spacing w:after="0"/>
                                  </w:pPr>
                                  <w:r w:rsidRPr="009301DF">
                                    <w:t>Krytyczne parametry operacyjne</w:t>
                                  </w:r>
                                </w:p>
                              </w:tc>
                              <w:tc>
                                <w:tcPr>
                                  <w:tcW w:w="2670" w:type="pct"/>
                                  <w:gridSpan w:val="2"/>
                                  <w:tcBorders>
                                    <w:top w:val="single" w:sz="4" w:space="0" w:color="auto"/>
                                    <w:left w:val="single" w:sz="4" w:space="0" w:color="auto"/>
                                    <w:right w:val="single" w:sz="4" w:space="0" w:color="auto"/>
                                  </w:tcBorders>
                                  <w:shd w:val="clear" w:color="auto" w:fill="auto"/>
                                </w:tcPr>
                                <w:p w14:paraId="5BA01FA8" w14:textId="77777777" w:rsidR="002F0761" w:rsidRPr="009301DF" w:rsidRDefault="002F0761" w:rsidP="002F0761">
                                  <w:pPr>
                                    <w:pStyle w:val="Inne0"/>
                                    <w:spacing w:after="0"/>
                                  </w:pPr>
                                  <w:r w:rsidRPr="009301DF">
                                    <w:t>Potwierdzenie</w:t>
                                  </w:r>
                                </w:p>
                              </w:tc>
                            </w:tr>
                            <w:tr w:rsidR="002F0761" w:rsidRPr="009301DF" w14:paraId="27C02592" w14:textId="77777777" w:rsidTr="00981231">
                              <w:trPr>
                                <w:trHeight w:val="622"/>
                              </w:trPr>
                              <w:tc>
                                <w:tcPr>
                                  <w:tcW w:w="484" w:type="pct"/>
                                  <w:vMerge/>
                                  <w:tcBorders>
                                    <w:left w:val="single" w:sz="4" w:space="0" w:color="auto"/>
                                  </w:tcBorders>
                                  <w:shd w:val="clear" w:color="auto" w:fill="auto"/>
                                </w:tcPr>
                                <w:p w14:paraId="6558635D" w14:textId="77777777" w:rsidR="002F0761" w:rsidRPr="009301DF" w:rsidRDefault="002F0761" w:rsidP="002F0761"/>
                              </w:tc>
                              <w:tc>
                                <w:tcPr>
                                  <w:tcW w:w="489" w:type="pct"/>
                                  <w:vMerge/>
                                  <w:tcBorders>
                                    <w:left w:val="single" w:sz="4" w:space="0" w:color="auto"/>
                                  </w:tcBorders>
                                  <w:shd w:val="clear" w:color="auto" w:fill="auto"/>
                                </w:tcPr>
                                <w:p w14:paraId="0AE8CF63" w14:textId="77777777" w:rsidR="002F0761" w:rsidRPr="009301DF" w:rsidRDefault="002F0761" w:rsidP="002F0761"/>
                              </w:tc>
                              <w:tc>
                                <w:tcPr>
                                  <w:tcW w:w="462" w:type="pct"/>
                                  <w:vMerge/>
                                  <w:tcBorders>
                                    <w:left w:val="single" w:sz="4" w:space="0" w:color="auto"/>
                                  </w:tcBorders>
                                  <w:shd w:val="clear" w:color="auto" w:fill="auto"/>
                                </w:tcPr>
                                <w:p w14:paraId="2068D252" w14:textId="77777777" w:rsidR="002F0761" w:rsidRPr="009301DF" w:rsidRDefault="002F0761" w:rsidP="002F0761"/>
                              </w:tc>
                              <w:tc>
                                <w:tcPr>
                                  <w:tcW w:w="895" w:type="pct"/>
                                  <w:vMerge/>
                                  <w:tcBorders>
                                    <w:left w:val="single" w:sz="4" w:space="0" w:color="auto"/>
                                  </w:tcBorders>
                                  <w:shd w:val="clear" w:color="auto" w:fill="auto"/>
                                </w:tcPr>
                                <w:p w14:paraId="705966F5" w14:textId="77777777" w:rsidR="002F0761" w:rsidRPr="009301DF" w:rsidRDefault="002F0761" w:rsidP="002F0761"/>
                              </w:tc>
                              <w:tc>
                                <w:tcPr>
                                  <w:tcW w:w="1217" w:type="pct"/>
                                  <w:tcBorders>
                                    <w:top w:val="single" w:sz="4" w:space="0" w:color="auto"/>
                                    <w:left w:val="single" w:sz="4" w:space="0" w:color="auto"/>
                                  </w:tcBorders>
                                  <w:shd w:val="clear" w:color="auto" w:fill="auto"/>
                                </w:tcPr>
                                <w:p w14:paraId="30CFB6AC" w14:textId="77777777" w:rsidR="002F0761" w:rsidRPr="009301DF" w:rsidRDefault="002F0761" w:rsidP="002F0761">
                                  <w:pPr>
                                    <w:pStyle w:val="Inne0"/>
                                    <w:spacing w:after="0"/>
                                    <w:rPr>
                                      <w:sz w:val="22"/>
                                      <w:szCs w:val="22"/>
                                    </w:rPr>
                                  </w:pPr>
                                  <w:r w:rsidRPr="009301DF">
                                    <w:rPr>
                                      <w:sz w:val="22"/>
                                    </w:rPr>
                                    <w:t>Wsparcie naukowe lub techniczne</w:t>
                                  </w:r>
                                </w:p>
                              </w:tc>
                              <w:tc>
                                <w:tcPr>
                                  <w:tcW w:w="1453" w:type="pct"/>
                                  <w:tcBorders>
                                    <w:top w:val="single" w:sz="4" w:space="0" w:color="auto"/>
                                    <w:left w:val="single" w:sz="4" w:space="0" w:color="auto"/>
                                    <w:right w:val="single" w:sz="4" w:space="0" w:color="auto"/>
                                  </w:tcBorders>
                                  <w:shd w:val="clear" w:color="auto" w:fill="auto"/>
                                </w:tcPr>
                                <w:p w14:paraId="2B9FAD17" w14:textId="77777777" w:rsidR="002F0761" w:rsidRPr="009301DF" w:rsidRDefault="002F0761" w:rsidP="002F0761">
                                  <w:pPr>
                                    <w:pStyle w:val="Inne0"/>
                                    <w:spacing w:after="0"/>
                                    <w:rPr>
                                      <w:sz w:val="22"/>
                                      <w:szCs w:val="22"/>
                                    </w:rPr>
                                  </w:pPr>
                                  <w:r w:rsidRPr="009301DF">
                                    <w:rPr>
                                      <w:sz w:val="22"/>
                                    </w:rPr>
                                    <w:t>Wewnątrzzakładowe dane walidacyjne</w:t>
                                  </w:r>
                                </w:p>
                              </w:tc>
                            </w:tr>
                            <w:tr w:rsidR="002F0761" w:rsidRPr="009301DF" w14:paraId="4CFFBAA0" w14:textId="77777777" w:rsidTr="00981231">
                              <w:trPr>
                                <w:trHeight w:hRule="exact" w:val="9388"/>
                              </w:trPr>
                              <w:tc>
                                <w:tcPr>
                                  <w:tcW w:w="484" w:type="pct"/>
                                  <w:tcBorders>
                                    <w:top w:val="single" w:sz="4" w:space="0" w:color="auto"/>
                                    <w:left w:val="single" w:sz="4" w:space="0" w:color="auto"/>
                                    <w:bottom w:val="single" w:sz="4" w:space="0" w:color="auto"/>
                                  </w:tcBorders>
                                  <w:shd w:val="clear" w:color="auto" w:fill="auto"/>
                                </w:tcPr>
                                <w:p w14:paraId="116E2031" w14:textId="77777777" w:rsidR="002F0761" w:rsidRPr="009301DF" w:rsidRDefault="002F0761" w:rsidP="002F0761">
                                  <w:pPr>
                                    <w:pStyle w:val="Inne0"/>
                                    <w:spacing w:after="0"/>
                                  </w:pPr>
                                  <w:r w:rsidRPr="009301DF">
                                    <w:t>Tusza wołowa</w:t>
                                  </w:r>
                                </w:p>
                              </w:tc>
                              <w:tc>
                                <w:tcPr>
                                  <w:tcW w:w="489" w:type="pct"/>
                                  <w:tcBorders>
                                    <w:top w:val="single" w:sz="4" w:space="0" w:color="auto"/>
                                    <w:left w:val="single" w:sz="4" w:space="0" w:color="auto"/>
                                    <w:bottom w:val="single" w:sz="4" w:space="0" w:color="auto"/>
                                  </w:tcBorders>
                                  <w:shd w:val="clear" w:color="auto" w:fill="auto"/>
                                </w:tcPr>
                                <w:p w14:paraId="48D5BC96" w14:textId="77777777" w:rsidR="002F0761" w:rsidRPr="009301DF" w:rsidRDefault="002F0761" w:rsidP="002F0761">
                                  <w:pPr>
                                    <w:pStyle w:val="Inne0"/>
                                    <w:spacing w:after="0" w:line="252" w:lineRule="auto"/>
                                  </w:pPr>
                                  <w:r w:rsidRPr="009301DF">
                                    <w:rPr>
                                      <w:sz w:val="22"/>
                                    </w:rPr>
                                    <w:t xml:space="preserve">Biologiczne - </w:t>
                                  </w:r>
                                  <w:r w:rsidRPr="009301DF">
                                    <w:rPr>
                                      <w:i/>
                                    </w:rPr>
                                    <w:t xml:space="preserve">E. coli </w:t>
                                  </w:r>
                                  <w:r w:rsidRPr="009301DF">
                                    <w:t>O157:H7</w:t>
                                  </w:r>
                                </w:p>
                              </w:tc>
                              <w:tc>
                                <w:tcPr>
                                  <w:tcW w:w="462" w:type="pct"/>
                                  <w:tcBorders>
                                    <w:top w:val="single" w:sz="4" w:space="0" w:color="auto"/>
                                    <w:left w:val="single" w:sz="4" w:space="0" w:color="auto"/>
                                    <w:bottom w:val="single" w:sz="4" w:space="0" w:color="auto"/>
                                  </w:tcBorders>
                                  <w:shd w:val="clear" w:color="auto" w:fill="auto"/>
                                </w:tcPr>
                                <w:p w14:paraId="4AB09697" w14:textId="77777777" w:rsidR="002F0761" w:rsidRPr="009301DF" w:rsidRDefault="002F0761" w:rsidP="002F0761">
                                  <w:pPr>
                                    <w:pStyle w:val="Inne0"/>
                                    <w:spacing w:after="0"/>
                                  </w:pPr>
                                  <w:r w:rsidRPr="009301DF">
                                    <w:t>Spray z kwasem mlekowym</w:t>
                                  </w:r>
                                </w:p>
                              </w:tc>
                              <w:tc>
                                <w:tcPr>
                                  <w:tcW w:w="895" w:type="pct"/>
                                  <w:tcBorders>
                                    <w:top w:val="single" w:sz="4" w:space="0" w:color="auto"/>
                                    <w:left w:val="single" w:sz="4" w:space="0" w:color="auto"/>
                                    <w:bottom w:val="single" w:sz="4" w:space="0" w:color="auto"/>
                                  </w:tcBorders>
                                  <w:shd w:val="clear" w:color="auto" w:fill="auto"/>
                                </w:tcPr>
                                <w:p w14:paraId="738DFF5C" w14:textId="77777777" w:rsidR="002F0761" w:rsidRPr="009301DF" w:rsidRDefault="002F0761" w:rsidP="002F0761">
                                  <w:pPr>
                                    <w:pStyle w:val="Inne0"/>
                                  </w:pPr>
                                  <w:r w:rsidRPr="009301DF">
                                    <w:t>Kwas mlekowy &gt;2%; Ciśnienie 40 psi (komora natryskowa CHAD), Czas przebywania: minimum 10 sekund Temperatura kwasu mlekowego: 104°F w punkcie podawania.</w:t>
                                  </w:r>
                                </w:p>
                                <w:p w14:paraId="298A6AD4" w14:textId="77777777" w:rsidR="002F0761" w:rsidRPr="009301DF" w:rsidRDefault="002F0761" w:rsidP="002F0761">
                                  <w:pPr>
                                    <w:pStyle w:val="Inne0"/>
                                  </w:pPr>
                                  <w:r w:rsidRPr="009301DF">
                                    <w:t>Pełne pokrycie tuszy.</w:t>
                                  </w:r>
                                </w:p>
                                <w:p w14:paraId="3E310AFA" w14:textId="77777777" w:rsidR="002F0761" w:rsidRPr="009301DF" w:rsidRDefault="002F0761" w:rsidP="002F0761">
                                  <w:pPr>
                                    <w:pStyle w:val="Inne0"/>
                                  </w:pPr>
                                  <w:r w:rsidRPr="009301DF">
                                    <w:t>Konstrukcja komory natryskowej obejmuje oscylujący (90 obr./min) układ dysza-głowica składający się z czterech dysz natryskowych.</w:t>
                                  </w:r>
                                </w:p>
                              </w:tc>
                              <w:tc>
                                <w:tcPr>
                                  <w:tcW w:w="1217" w:type="pct"/>
                                  <w:tcBorders>
                                    <w:top w:val="single" w:sz="4" w:space="0" w:color="auto"/>
                                    <w:left w:val="single" w:sz="4" w:space="0" w:color="auto"/>
                                    <w:bottom w:val="single" w:sz="4" w:space="0" w:color="auto"/>
                                  </w:tcBorders>
                                  <w:shd w:val="clear" w:color="auto" w:fill="auto"/>
                                </w:tcPr>
                                <w:p w14:paraId="7A7EE8FE" w14:textId="77777777" w:rsidR="002F0761" w:rsidRPr="00A371E8" w:rsidRDefault="002F0761" w:rsidP="002F0761">
                                  <w:pPr>
                                    <w:pStyle w:val="Inne0"/>
                                    <w:spacing w:after="260"/>
                                  </w:pPr>
                                  <w:r w:rsidRPr="00A371E8">
                                    <w:t>Gastillo, A, L.M. Lucia, K.J. Goodson, J.W. Savell, G.R. Acuff. 1998. Porównanie mycia wodą, trymowania i połączonej obróbki gorącą wodą i kwasem mlekowym w celu zmniejszenia liczby bakterii pochodzenia kałowego na tuszach wołowych (</w:t>
                                  </w:r>
                                  <w:r w:rsidRPr="00A371E8">
                                    <w:rPr>
                                      <w:i/>
                                      <w:iCs/>
                                    </w:rPr>
                                    <w:t>Comparison of Water Washing, Trimming, and combined Hot Water and Lactic Acid Treatment for Reducing Bacteria of Fecal Origin on Beef Carcasses</w:t>
                                  </w:r>
                                  <w:r w:rsidRPr="00A371E8">
                                    <w:t xml:space="preserve">). </w:t>
                                  </w:r>
                                  <w:r w:rsidRPr="00A371E8">
                                    <w:rPr>
                                      <w:i/>
                                    </w:rPr>
                                    <w:t xml:space="preserve">J. Food Prot. </w:t>
                                  </w:r>
                                  <w:r w:rsidRPr="00A371E8">
                                    <w:t>61: 823-828.</w:t>
                                  </w:r>
                                </w:p>
                                <w:p w14:paraId="71BD3FBF" w14:textId="77777777" w:rsidR="002F0761" w:rsidRPr="00540146" w:rsidRDefault="002F0761" w:rsidP="002F0761">
                                  <w:pPr>
                                    <w:pStyle w:val="Inne0"/>
                                    <w:spacing w:after="260"/>
                                    <w:rPr>
                                      <w:lang w:val="en-US"/>
                                    </w:rPr>
                                  </w:pPr>
                                  <w:r w:rsidRPr="00A371E8">
                                    <w:t xml:space="preserve">Hardin, M.D., Acuff, G.R., Lucia, L.M., Oman, J.S., Savell, J.W. 1995. </w:t>
                                  </w:r>
                                  <w:r w:rsidRPr="00540146">
                                    <w:rPr>
                                      <w:lang w:val="en-US"/>
                                    </w:rPr>
                                    <w:t>Porównanie metod odkażania powierzchni tusz wołowych (</w:t>
                                  </w:r>
                                  <w:r w:rsidRPr="00540146">
                                    <w:rPr>
                                      <w:i/>
                                      <w:iCs/>
                                      <w:lang w:val="en-US"/>
                                    </w:rPr>
                                    <w:t>Comparison of Methods for Decontamination from Beef Carcass Surfaces</w:t>
                                  </w:r>
                                  <w:r w:rsidRPr="00540146">
                                    <w:rPr>
                                      <w:lang w:val="en-US"/>
                                    </w:rPr>
                                    <w:t xml:space="preserve">). </w:t>
                                  </w:r>
                                  <w:r w:rsidRPr="00540146">
                                    <w:rPr>
                                      <w:i/>
                                      <w:lang w:val="en-US"/>
                                    </w:rPr>
                                    <w:t>J. Food Prot</w:t>
                                  </w:r>
                                  <w:r w:rsidRPr="00540146">
                                    <w:rPr>
                                      <w:lang w:val="en-US"/>
                                    </w:rPr>
                                    <w:t>. 58: 368-374.</w:t>
                                  </w:r>
                                </w:p>
                                <w:p w14:paraId="04437CC0" w14:textId="77777777" w:rsidR="002F0761" w:rsidRPr="009301DF" w:rsidRDefault="002F0761" w:rsidP="002F0761">
                                  <w:pPr>
                                    <w:pStyle w:val="Inne0"/>
                                    <w:spacing w:after="260"/>
                                  </w:pPr>
                                  <w:r w:rsidRPr="00540146">
                                    <w:rPr>
                                      <w:lang w:val="en-US"/>
                                    </w:rPr>
                                    <w:t xml:space="preserve">Delmore, R.J., J.N. Sofos, G.R. Schmidt, K.E. Belk, W.R. Lloyd, G.C. Smith 2000. </w:t>
                                  </w:r>
                                  <w:r w:rsidRPr="009301DF">
                                    <w:t>Interwencje mające na celu zmniejszenie zanieczyszczenia mikrobiologicznego mięsa wołowego (</w:t>
                                  </w:r>
                                  <w:r w:rsidRPr="009301DF">
                                    <w:rPr>
                                      <w:i/>
                                      <w:iCs/>
                                    </w:rPr>
                                    <w:t>Interventions to Reduce Microbiological Contamination of Beef Variety Meats</w:t>
                                  </w:r>
                                  <w:r w:rsidRPr="009301DF">
                                    <w:t xml:space="preserve">). </w:t>
                                  </w:r>
                                  <w:r w:rsidRPr="009301DF">
                                    <w:rPr>
                                      <w:i/>
                                    </w:rPr>
                                    <w:t>J. Food Prot.</w:t>
                                  </w:r>
                                  <w:r w:rsidRPr="009301DF">
                                    <w:t xml:space="preserve"> 63: 44-50.</w:t>
                                  </w:r>
                                </w:p>
                                <w:p w14:paraId="2C1576B1" w14:textId="77777777" w:rsidR="002F0761" w:rsidRPr="009301DF" w:rsidRDefault="002F0761" w:rsidP="002F0761">
                                  <w:pPr>
                                    <w:pStyle w:val="Inne0"/>
                                    <w:spacing w:after="260"/>
                                  </w:pPr>
                                  <w:r w:rsidRPr="009301DF">
                                    <w:t>Dyrektywa FSIS 7120.1</w:t>
                                  </w:r>
                                </w:p>
                              </w:tc>
                              <w:tc>
                                <w:tcPr>
                                  <w:tcW w:w="1453" w:type="pct"/>
                                  <w:tcBorders>
                                    <w:top w:val="single" w:sz="4" w:space="0" w:color="auto"/>
                                    <w:left w:val="single" w:sz="4" w:space="0" w:color="auto"/>
                                    <w:bottom w:val="single" w:sz="4" w:space="0" w:color="auto"/>
                                    <w:right w:val="single" w:sz="4" w:space="0" w:color="auto"/>
                                  </w:tcBorders>
                                  <w:shd w:val="clear" w:color="auto" w:fill="auto"/>
                                </w:tcPr>
                                <w:p w14:paraId="4E772CD5" w14:textId="77777777" w:rsidR="002F0761" w:rsidRPr="009301DF" w:rsidRDefault="002F0761" w:rsidP="002F0761">
                                  <w:pPr>
                                    <w:pStyle w:val="Inne0"/>
                                    <w:spacing w:after="0"/>
                                  </w:pPr>
                                  <w:r w:rsidRPr="009301DF">
                                    <w:t>Zapisy z monitoringu w zakładzie za okres 90 dni zarejestrowane w arkuszu roboczym komory przed wypatroszeniem, w którym monitorowano zawartość procentową kwasu mlekowego, czas przebywania tuszy w komorze, ciśnienie, pokrycie tuszy i temperaturę kwasu mlekowego w punkcie podawania.</w:t>
                                  </w:r>
                                </w:p>
                              </w:tc>
                            </w:tr>
                          </w:tbl>
                          <w:p w14:paraId="08C87001" w14:textId="77777777" w:rsidR="002F0761" w:rsidRDefault="002F0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F3B21A" id="Pole tekstowe 2" o:spid="_x0000_s1027" type="#_x0000_t202" style="position:absolute;margin-left:19.45pt;margin-top:13.1pt;width:666.45pt;height:574.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" fillcolor="white [3201]" stroked="f" strokeweight=".5pt">
                <v:textbox>
                  <w:txbxContent>
                    <w:tbl>
                      <w:tblPr>
                        <w:tblOverlap w:val="never"/>
                        <w:tblW w:w="5000" w:type="pct"/>
                        <w:tblCellMar>
                          <w:left w:w="10" w:type="dxa"/>
                          <w:right w:w="10" w:type="dxa"/>
                        </w:tblCellMar>
                        <w:tblLook w:val="04A0" w:firstRow="1" w:lastRow="0" w:firstColumn="1" w:lastColumn="0" w:noHBand="0" w:noVBand="1"/>
                      </w:tblPr>
                      <w:tblGrid>
                        <w:gridCol w:w="1260"/>
                        <w:gridCol w:w="1288"/>
                        <w:gridCol w:w="1202"/>
                        <w:gridCol w:w="2333"/>
                        <w:gridCol w:w="3173"/>
                        <w:gridCol w:w="3789"/>
                      </w:tblGrid>
                      <w:tr w:rsidR="002F0761" w:rsidRPr="009301DF" w14:paraId="66AD63B2" w14:textId="77777777" w:rsidTr="002F0761">
                        <w:trPr>
                          <w:trHeight w:hRule="exact" w:val="422"/>
                        </w:trPr>
                        <w:tc>
                          <w:tcPr>
                            <w:tcW w:w="5000" w:type="pct"/>
                            <w:gridSpan w:val="6"/>
                            <w:shd w:val="clear" w:color="auto" w:fill="auto"/>
                          </w:tcPr>
                          <w:p w14:paraId="7CF88FB1" w14:textId="77777777" w:rsidR="002F0761" w:rsidRPr="009301DF" w:rsidRDefault="002F0761" w:rsidP="002F0761">
                            <w:pPr>
                              <w:pStyle w:val="Inne0"/>
                              <w:spacing w:after="0"/>
                              <w:ind w:hanging="12"/>
                            </w:pPr>
                            <w:r w:rsidRPr="009301DF">
                              <w:t>Wyłącznie do celów ilustracyjnych</w:t>
                            </w:r>
                          </w:p>
                        </w:tc>
                      </w:tr>
                      <w:tr w:rsidR="002F0761" w:rsidRPr="009301DF" w14:paraId="28EB48E6" w14:textId="77777777" w:rsidTr="00981231">
                        <w:trPr>
                          <w:trHeight w:hRule="exact" w:val="530"/>
                        </w:trPr>
                        <w:tc>
                          <w:tcPr>
                            <w:tcW w:w="484" w:type="pct"/>
                            <w:vMerge w:val="restart"/>
                            <w:tcBorders>
                              <w:top w:val="single" w:sz="4" w:space="0" w:color="auto"/>
                              <w:left w:val="single" w:sz="4" w:space="0" w:color="auto"/>
                            </w:tcBorders>
                            <w:shd w:val="clear" w:color="auto" w:fill="auto"/>
                          </w:tcPr>
                          <w:p w14:paraId="24D6A12C" w14:textId="77777777" w:rsidR="002F0761" w:rsidRPr="009301DF" w:rsidRDefault="002F0761" w:rsidP="002F0761">
                            <w:pPr>
                              <w:pStyle w:val="Inne0"/>
                              <w:spacing w:after="0"/>
                            </w:pPr>
                            <w:r w:rsidRPr="009301DF">
                              <w:t>Produkt</w:t>
                            </w:r>
                          </w:p>
                        </w:tc>
                        <w:tc>
                          <w:tcPr>
                            <w:tcW w:w="489" w:type="pct"/>
                            <w:vMerge w:val="restart"/>
                            <w:tcBorders>
                              <w:top w:val="single" w:sz="4" w:space="0" w:color="auto"/>
                              <w:left w:val="single" w:sz="4" w:space="0" w:color="auto"/>
                            </w:tcBorders>
                            <w:shd w:val="clear" w:color="auto" w:fill="auto"/>
                          </w:tcPr>
                          <w:p w14:paraId="58F1D1FA" w14:textId="77777777" w:rsidR="002F0761" w:rsidRPr="009301DF" w:rsidRDefault="002F0761" w:rsidP="002F0761">
                            <w:pPr>
                              <w:pStyle w:val="Inne0"/>
                              <w:spacing w:after="0"/>
                            </w:pPr>
                            <w:r w:rsidRPr="009301DF">
                              <w:t>Zagrożenie:</w:t>
                            </w:r>
                          </w:p>
                        </w:tc>
                        <w:tc>
                          <w:tcPr>
                            <w:tcW w:w="462" w:type="pct"/>
                            <w:vMerge w:val="restart"/>
                            <w:tcBorders>
                              <w:top w:val="single" w:sz="4" w:space="0" w:color="auto"/>
                              <w:left w:val="single" w:sz="4" w:space="0" w:color="auto"/>
                            </w:tcBorders>
                            <w:shd w:val="clear" w:color="auto" w:fill="auto"/>
                          </w:tcPr>
                          <w:p w14:paraId="5011381D" w14:textId="77777777" w:rsidR="002F0761" w:rsidRPr="009301DF" w:rsidRDefault="002F0761" w:rsidP="002F0761">
                            <w:pPr>
                              <w:pStyle w:val="Inne0"/>
                              <w:spacing w:after="0"/>
                            </w:pPr>
                            <w:r w:rsidRPr="009301DF">
                              <w:t>Proces</w:t>
                            </w:r>
                          </w:p>
                        </w:tc>
                        <w:tc>
                          <w:tcPr>
                            <w:tcW w:w="895" w:type="pct"/>
                            <w:vMerge w:val="restart"/>
                            <w:tcBorders>
                              <w:top w:val="single" w:sz="4" w:space="0" w:color="auto"/>
                              <w:left w:val="single" w:sz="4" w:space="0" w:color="auto"/>
                            </w:tcBorders>
                            <w:shd w:val="clear" w:color="auto" w:fill="auto"/>
                          </w:tcPr>
                          <w:p w14:paraId="3FA297A3" w14:textId="77777777" w:rsidR="002F0761" w:rsidRPr="009301DF" w:rsidRDefault="002F0761" w:rsidP="002F0761">
                            <w:pPr>
                              <w:pStyle w:val="Inne0"/>
                              <w:spacing w:after="0"/>
                            </w:pPr>
                            <w:r w:rsidRPr="009301DF">
                              <w:t>Krytyczne parametry operacyjne</w:t>
                            </w:r>
                          </w:p>
                        </w:tc>
                        <w:tc>
                          <w:tcPr>
                            <w:tcW w:w="2670" w:type="pct"/>
                            <w:gridSpan w:val="2"/>
                            <w:tcBorders>
                              <w:top w:val="single" w:sz="4" w:space="0" w:color="auto"/>
                              <w:left w:val="single" w:sz="4" w:space="0" w:color="auto"/>
                              <w:right w:val="single" w:sz="4" w:space="0" w:color="auto"/>
                            </w:tcBorders>
                            <w:shd w:val="clear" w:color="auto" w:fill="auto"/>
                          </w:tcPr>
                          <w:p w14:paraId="5BA01FA8" w14:textId="77777777" w:rsidR="002F0761" w:rsidRPr="009301DF" w:rsidRDefault="002F0761" w:rsidP="002F0761">
                            <w:pPr>
                              <w:pStyle w:val="Inne0"/>
                              <w:spacing w:after="0"/>
                            </w:pPr>
                            <w:r w:rsidRPr="009301DF">
                              <w:t>Potwierdzenie</w:t>
                            </w:r>
                          </w:p>
                        </w:tc>
                      </w:tr>
                      <w:tr w:rsidR="002F0761" w:rsidRPr="009301DF" w14:paraId="27C02592" w14:textId="77777777" w:rsidTr="00981231">
                        <w:trPr>
                          <w:trHeight w:val="622"/>
                        </w:trPr>
                        <w:tc>
                          <w:tcPr>
                            <w:tcW w:w="484" w:type="pct"/>
                            <w:vMerge/>
                            <w:tcBorders>
                              <w:left w:val="single" w:sz="4" w:space="0" w:color="auto"/>
                            </w:tcBorders>
                            <w:shd w:val="clear" w:color="auto" w:fill="auto"/>
                          </w:tcPr>
                          <w:p w14:paraId="6558635D" w14:textId="77777777" w:rsidR="002F0761" w:rsidRPr="009301DF" w:rsidRDefault="002F0761" w:rsidP="002F0761"/>
                        </w:tc>
                        <w:tc>
                          <w:tcPr>
                            <w:tcW w:w="489" w:type="pct"/>
                            <w:vMerge/>
                            <w:tcBorders>
                              <w:left w:val="single" w:sz="4" w:space="0" w:color="auto"/>
                            </w:tcBorders>
                            <w:shd w:val="clear" w:color="auto" w:fill="auto"/>
                          </w:tcPr>
                          <w:p w14:paraId="0AE8CF63" w14:textId="77777777" w:rsidR="002F0761" w:rsidRPr="009301DF" w:rsidRDefault="002F0761" w:rsidP="002F0761"/>
                        </w:tc>
                        <w:tc>
                          <w:tcPr>
                            <w:tcW w:w="462" w:type="pct"/>
                            <w:vMerge/>
                            <w:tcBorders>
                              <w:left w:val="single" w:sz="4" w:space="0" w:color="auto"/>
                            </w:tcBorders>
                            <w:shd w:val="clear" w:color="auto" w:fill="auto"/>
                          </w:tcPr>
                          <w:p w14:paraId="2068D252" w14:textId="77777777" w:rsidR="002F0761" w:rsidRPr="009301DF" w:rsidRDefault="002F0761" w:rsidP="002F0761"/>
                        </w:tc>
                        <w:tc>
                          <w:tcPr>
                            <w:tcW w:w="895" w:type="pct"/>
                            <w:vMerge/>
                            <w:tcBorders>
                              <w:left w:val="single" w:sz="4" w:space="0" w:color="auto"/>
                            </w:tcBorders>
                            <w:shd w:val="clear" w:color="auto" w:fill="auto"/>
                          </w:tcPr>
                          <w:p w14:paraId="705966F5" w14:textId="77777777" w:rsidR="002F0761" w:rsidRPr="009301DF" w:rsidRDefault="002F0761" w:rsidP="002F0761"/>
                        </w:tc>
                        <w:tc>
                          <w:tcPr>
                            <w:tcW w:w="1217" w:type="pct"/>
                            <w:tcBorders>
                              <w:top w:val="single" w:sz="4" w:space="0" w:color="auto"/>
                              <w:left w:val="single" w:sz="4" w:space="0" w:color="auto"/>
                            </w:tcBorders>
                            <w:shd w:val="clear" w:color="auto" w:fill="auto"/>
                          </w:tcPr>
                          <w:p w14:paraId="30CFB6AC" w14:textId="77777777" w:rsidR="002F0761" w:rsidRPr="009301DF" w:rsidRDefault="002F0761" w:rsidP="002F0761">
                            <w:pPr>
                              <w:pStyle w:val="Inne0"/>
                              <w:spacing w:after="0"/>
                              <w:rPr>
                                <w:sz w:val="22"/>
                                <w:szCs w:val="22"/>
                              </w:rPr>
                            </w:pPr>
                            <w:r w:rsidRPr="009301DF">
                              <w:rPr>
                                <w:sz w:val="22"/>
                              </w:rPr>
                              <w:t>Wsparcie naukowe lub techniczne</w:t>
                            </w:r>
                          </w:p>
                        </w:tc>
                        <w:tc>
                          <w:tcPr>
                            <w:tcW w:w="1453" w:type="pct"/>
                            <w:tcBorders>
                              <w:top w:val="single" w:sz="4" w:space="0" w:color="auto"/>
                              <w:left w:val="single" w:sz="4" w:space="0" w:color="auto"/>
                              <w:right w:val="single" w:sz="4" w:space="0" w:color="auto"/>
                            </w:tcBorders>
                            <w:shd w:val="clear" w:color="auto" w:fill="auto"/>
                          </w:tcPr>
                          <w:p w14:paraId="2B9FAD17" w14:textId="77777777" w:rsidR="002F0761" w:rsidRPr="009301DF" w:rsidRDefault="002F0761" w:rsidP="002F0761">
                            <w:pPr>
                              <w:pStyle w:val="Inne0"/>
                              <w:spacing w:after="0"/>
                              <w:rPr>
                                <w:sz w:val="22"/>
                                <w:szCs w:val="22"/>
                              </w:rPr>
                            </w:pPr>
                            <w:r w:rsidRPr="009301DF">
                              <w:rPr>
                                <w:sz w:val="22"/>
                              </w:rPr>
                              <w:t>Wewnątrzzakładowe dane walidacyjne</w:t>
                            </w:r>
                          </w:p>
                        </w:tc>
                      </w:tr>
                      <w:tr w:rsidR="002F0761" w:rsidRPr="009301DF" w14:paraId="4CFFBAA0" w14:textId="77777777" w:rsidTr="00981231">
                        <w:trPr>
                          <w:trHeight w:hRule="exact" w:val="9388"/>
                        </w:trPr>
                        <w:tc>
                          <w:tcPr>
                            <w:tcW w:w="484" w:type="pct"/>
                            <w:tcBorders>
                              <w:top w:val="single" w:sz="4" w:space="0" w:color="auto"/>
                              <w:left w:val="single" w:sz="4" w:space="0" w:color="auto"/>
                              <w:bottom w:val="single" w:sz="4" w:space="0" w:color="auto"/>
                            </w:tcBorders>
                            <w:shd w:val="clear" w:color="auto" w:fill="auto"/>
                          </w:tcPr>
                          <w:p w14:paraId="116E2031" w14:textId="77777777" w:rsidR="002F0761" w:rsidRPr="009301DF" w:rsidRDefault="002F0761" w:rsidP="002F0761">
                            <w:pPr>
                              <w:pStyle w:val="Inne0"/>
                              <w:spacing w:after="0"/>
                            </w:pPr>
                            <w:r w:rsidRPr="009301DF">
                              <w:t>Tusza wołowa</w:t>
                            </w:r>
                          </w:p>
                        </w:tc>
                        <w:tc>
                          <w:tcPr>
                            <w:tcW w:w="489" w:type="pct"/>
                            <w:tcBorders>
                              <w:top w:val="single" w:sz="4" w:space="0" w:color="auto"/>
                              <w:left w:val="single" w:sz="4" w:space="0" w:color="auto"/>
                              <w:bottom w:val="single" w:sz="4" w:space="0" w:color="auto"/>
                            </w:tcBorders>
                            <w:shd w:val="clear" w:color="auto" w:fill="auto"/>
                          </w:tcPr>
                          <w:p w14:paraId="48D5BC96" w14:textId="77777777" w:rsidR="002F0761" w:rsidRPr="009301DF" w:rsidRDefault="002F0761" w:rsidP="002F0761">
                            <w:pPr>
                              <w:pStyle w:val="Inne0"/>
                              <w:spacing w:after="0" w:line="252" w:lineRule="auto"/>
                            </w:pPr>
                            <w:r w:rsidRPr="009301DF">
                              <w:rPr>
                                <w:sz w:val="22"/>
                              </w:rPr>
                              <w:t xml:space="preserve">Biologiczne - </w:t>
                            </w:r>
                            <w:r w:rsidRPr="009301DF">
                              <w:rPr>
                                <w:i/>
                              </w:rPr>
                              <w:t xml:space="preserve">E. coli </w:t>
                            </w:r>
                            <w:r w:rsidRPr="009301DF">
                              <w:t>O157:H7</w:t>
                            </w:r>
                          </w:p>
                        </w:tc>
                        <w:tc>
                          <w:tcPr>
                            <w:tcW w:w="462" w:type="pct"/>
                            <w:tcBorders>
                              <w:top w:val="single" w:sz="4" w:space="0" w:color="auto"/>
                              <w:left w:val="single" w:sz="4" w:space="0" w:color="auto"/>
                              <w:bottom w:val="single" w:sz="4" w:space="0" w:color="auto"/>
                            </w:tcBorders>
                            <w:shd w:val="clear" w:color="auto" w:fill="auto"/>
                          </w:tcPr>
                          <w:p w14:paraId="4AB09697" w14:textId="77777777" w:rsidR="002F0761" w:rsidRPr="009301DF" w:rsidRDefault="002F0761" w:rsidP="002F0761">
                            <w:pPr>
                              <w:pStyle w:val="Inne0"/>
                              <w:spacing w:after="0"/>
                            </w:pPr>
                            <w:r w:rsidRPr="009301DF">
                              <w:t>Spray z kwasem mlekowym</w:t>
                            </w:r>
                          </w:p>
                        </w:tc>
                        <w:tc>
                          <w:tcPr>
                            <w:tcW w:w="895" w:type="pct"/>
                            <w:tcBorders>
                              <w:top w:val="single" w:sz="4" w:space="0" w:color="auto"/>
                              <w:left w:val="single" w:sz="4" w:space="0" w:color="auto"/>
                              <w:bottom w:val="single" w:sz="4" w:space="0" w:color="auto"/>
                            </w:tcBorders>
                            <w:shd w:val="clear" w:color="auto" w:fill="auto"/>
                          </w:tcPr>
                          <w:p w14:paraId="738DFF5C" w14:textId="77777777" w:rsidR="002F0761" w:rsidRPr="009301DF" w:rsidRDefault="002F0761" w:rsidP="002F0761">
                            <w:pPr>
                              <w:pStyle w:val="Inne0"/>
                            </w:pPr>
                            <w:r w:rsidRPr="009301DF">
                              <w:t>Kwas mlekowy &gt;2%; Ciśnienie 40 psi (komora natryskowa CHAD), Czas przebywania: minimum 10 sekund Temperatura kwasu mlekowego: 104°F w punkcie podawania.</w:t>
                            </w:r>
                          </w:p>
                          <w:p w14:paraId="298A6AD4" w14:textId="77777777" w:rsidR="002F0761" w:rsidRPr="009301DF" w:rsidRDefault="002F0761" w:rsidP="002F0761">
                            <w:pPr>
                              <w:pStyle w:val="Inne0"/>
                            </w:pPr>
                            <w:r w:rsidRPr="009301DF">
                              <w:t>Pełne pokrycie tuszy.</w:t>
                            </w:r>
                          </w:p>
                          <w:p w14:paraId="3E310AFA" w14:textId="77777777" w:rsidR="002F0761" w:rsidRPr="009301DF" w:rsidRDefault="002F0761" w:rsidP="002F0761">
                            <w:pPr>
                              <w:pStyle w:val="Inne0"/>
                            </w:pPr>
                            <w:r w:rsidRPr="009301DF">
                              <w:t>Konstrukcja komory natryskowej obejmuje oscylujący (90 obr./min) układ dysza-głowica składający się z czterech dysz natryskowych.</w:t>
                            </w:r>
                          </w:p>
                        </w:tc>
                        <w:tc>
                          <w:tcPr>
                            <w:tcW w:w="1217" w:type="pct"/>
                            <w:tcBorders>
                              <w:top w:val="single" w:sz="4" w:space="0" w:color="auto"/>
                              <w:left w:val="single" w:sz="4" w:space="0" w:color="auto"/>
                              <w:bottom w:val="single" w:sz="4" w:space="0" w:color="auto"/>
                            </w:tcBorders>
                            <w:shd w:val="clear" w:color="auto" w:fill="auto"/>
                          </w:tcPr>
                          <w:p w14:paraId="7A7EE8FE" w14:textId="77777777" w:rsidR="002F0761" w:rsidRPr="00A371E8" w:rsidRDefault="002F0761" w:rsidP="002F0761">
                            <w:pPr>
                              <w:pStyle w:val="Inne0"/>
                              <w:spacing w:after="260"/>
                            </w:pPr>
                            <w:r w:rsidRPr="00A371E8">
                              <w:t>Gastillo, A, L.M. Lucia, K.J. Goodson, J.W. Savell, G.R. Acuff. 1998. Porównanie mycia wodą, trymowania i połączonej obróbki gorącą wodą i kwasem mlekowym w celu zmniejszenia liczby bakterii pochodzenia kałowego na tuszach wołowych (</w:t>
                            </w:r>
                            <w:r w:rsidRPr="00A371E8">
                              <w:rPr>
                                <w:i/>
                                <w:iCs/>
                              </w:rPr>
                              <w:t>Comparison of Water Washing, Trimming, and combined Hot Water and Lactic Acid Treatment for Reducing Bacteria of Fecal Origin on Beef Carcasses</w:t>
                            </w:r>
                            <w:r w:rsidRPr="00A371E8">
                              <w:t xml:space="preserve">). </w:t>
                            </w:r>
                            <w:r w:rsidRPr="00A371E8">
                              <w:rPr>
                                <w:i/>
                              </w:rPr>
                              <w:t xml:space="preserve">J. Food Prot. </w:t>
                            </w:r>
                            <w:r w:rsidRPr="00A371E8">
                              <w:t>61: 823-828.</w:t>
                            </w:r>
                          </w:p>
                          <w:p w14:paraId="71BD3FBF" w14:textId="77777777" w:rsidR="002F0761" w:rsidRPr="00540146" w:rsidRDefault="002F0761" w:rsidP="002F0761">
                            <w:pPr>
                              <w:pStyle w:val="Inne0"/>
                              <w:spacing w:after="260"/>
                              <w:rPr>
                                <w:lang w:val="en-US"/>
                              </w:rPr>
                            </w:pPr>
                            <w:r w:rsidRPr="00A371E8">
                              <w:t xml:space="preserve">Hardin, M.D., Acuff, G.R., Lucia, L.M., Oman, J.S., Savell, J.W. 1995. </w:t>
                            </w:r>
                            <w:r w:rsidRPr="00540146">
                              <w:rPr>
                                <w:lang w:val="en-US"/>
                              </w:rPr>
                              <w:t>Porównanie metod odkażania powierzchni tusz wołowych (</w:t>
                            </w:r>
                            <w:r w:rsidRPr="00540146">
                              <w:rPr>
                                <w:i/>
                                <w:iCs/>
                                <w:lang w:val="en-US"/>
                              </w:rPr>
                              <w:t>Comparison of Methods for Decontamination from Beef Carcass Surfaces</w:t>
                            </w:r>
                            <w:r w:rsidRPr="00540146">
                              <w:rPr>
                                <w:lang w:val="en-US"/>
                              </w:rPr>
                              <w:t xml:space="preserve">). </w:t>
                            </w:r>
                            <w:r w:rsidRPr="00540146">
                              <w:rPr>
                                <w:i/>
                                <w:lang w:val="en-US"/>
                              </w:rPr>
                              <w:t>J. Food Prot</w:t>
                            </w:r>
                            <w:r w:rsidRPr="00540146">
                              <w:rPr>
                                <w:lang w:val="en-US"/>
                              </w:rPr>
                              <w:t>. 58: 368-374.</w:t>
                            </w:r>
                          </w:p>
                          <w:p w14:paraId="04437CC0" w14:textId="77777777" w:rsidR="002F0761" w:rsidRPr="009301DF" w:rsidRDefault="002F0761" w:rsidP="002F0761">
                            <w:pPr>
                              <w:pStyle w:val="Inne0"/>
                              <w:spacing w:after="260"/>
                            </w:pPr>
                            <w:r w:rsidRPr="00540146">
                              <w:rPr>
                                <w:lang w:val="en-US"/>
                              </w:rPr>
                              <w:t xml:space="preserve">Delmore, R.J., J.N. Sofos, G.R. Schmidt, K.E. Belk, W.R. Lloyd, G.C. Smith 2000. </w:t>
                            </w:r>
                            <w:r w:rsidRPr="009301DF">
                              <w:t>Interwencje mające na celu zmniejszenie zanieczyszczenia mikrobiologicznego mięsa wołowego (</w:t>
                            </w:r>
                            <w:r w:rsidRPr="009301DF">
                              <w:rPr>
                                <w:i/>
                                <w:iCs/>
                              </w:rPr>
                              <w:t>Interventions to Reduce Microbiological Contamination of Beef Variety Meats</w:t>
                            </w:r>
                            <w:r w:rsidRPr="009301DF">
                              <w:t xml:space="preserve">). </w:t>
                            </w:r>
                            <w:r w:rsidRPr="009301DF">
                              <w:rPr>
                                <w:i/>
                              </w:rPr>
                              <w:t>J. Food Prot.</w:t>
                            </w:r>
                            <w:r w:rsidRPr="009301DF">
                              <w:t xml:space="preserve"> 63: 44-50.</w:t>
                            </w:r>
                          </w:p>
                          <w:p w14:paraId="2C1576B1" w14:textId="77777777" w:rsidR="002F0761" w:rsidRPr="009301DF" w:rsidRDefault="002F0761" w:rsidP="002F0761">
                            <w:pPr>
                              <w:pStyle w:val="Inne0"/>
                              <w:spacing w:after="260"/>
                            </w:pPr>
                            <w:r w:rsidRPr="009301DF">
                              <w:t>Dyrektywa FSIS 7120.1</w:t>
                            </w:r>
                          </w:p>
                        </w:tc>
                        <w:tc>
                          <w:tcPr>
                            <w:tcW w:w="1453" w:type="pct"/>
                            <w:tcBorders>
                              <w:top w:val="single" w:sz="4" w:space="0" w:color="auto"/>
                              <w:left w:val="single" w:sz="4" w:space="0" w:color="auto"/>
                              <w:bottom w:val="single" w:sz="4" w:space="0" w:color="auto"/>
                              <w:right w:val="single" w:sz="4" w:space="0" w:color="auto"/>
                            </w:tcBorders>
                            <w:shd w:val="clear" w:color="auto" w:fill="auto"/>
                          </w:tcPr>
                          <w:p w14:paraId="4E772CD5" w14:textId="77777777" w:rsidR="002F0761" w:rsidRPr="009301DF" w:rsidRDefault="002F0761" w:rsidP="002F0761">
                            <w:pPr>
                              <w:pStyle w:val="Inne0"/>
                              <w:spacing w:after="0"/>
                            </w:pPr>
                            <w:r w:rsidRPr="009301DF">
                              <w:t>Zapisy z monitoringu w zakładzie za okres 90 dni zarejestrowane w arkuszu roboczym komory przed wypatroszeniem, w którym monitorowano zawartość procentową kwasu mlekowego, czas przebywania tuszy w komorze, ciśnienie, pokrycie tuszy i temperaturę kwasu mlekowego w punkcie podawania.</w:t>
                            </w:r>
                          </w:p>
                        </w:tc>
                      </w:tr>
                    </w:tbl>
                    <w:p w14:paraId="08C87001" w14:textId="77777777" w:rsidR="002F0761" w:rsidRDefault="002F0761"/>
                  </w:txbxContent>
                </v:textbox>
              </v:shape>
            </w:pict>
          </mc:Fallback>
        </mc:AlternateContent>
      </w:r>
    </w:p>
    <w:p w14:paraId="17ABE8D9"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391085A1" w14:textId="77777777" w:rsidR="00632C48" w:rsidRPr="009301DF" w:rsidRDefault="00632C48">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1282"/>
        <w:gridCol w:w="1262"/>
        <w:gridCol w:w="1526"/>
        <w:gridCol w:w="1891"/>
        <w:gridCol w:w="3509"/>
        <w:gridCol w:w="2712"/>
      </w:tblGrid>
      <w:tr w:rsidR="00632C48" w:rsidRPr="009301DF" w14:paraId="2DFBFC24" w14:textId="77777777" w:rsidTr="005F6F63">
        <w:trPr>
          <w:trHeight w:hRule="exact" w:val="787"/>
        </w:trPr>
        <w:tc>
          <w:tcPr>
            <w:tcW w:w="12182" w:type="dxa"/>
            <w:gridSpan w:val="6"/>
            <w:shd w:val="clear" w:color="auto" w:fill="auto"/>
          </w:tcPr>
          <w:p w14:paraId="49E33F30" w14:textId="77777777" w:rsidR="00632C48" w:rsidRPr="009301DF" w:rsidRDefault="005F6F63" w:rsidP="002F0761">
            <w:pPr>
              <w:pStyle w:val="Inne0"/>
              <w:framePr w:w="12182" w:h="7603" w:wrap="none" w:vAnchor="page" w:hAnchor="page" w:x="1182" w:y="735"/>
              <w:spacing w:after="0"/>
            </w:pPr>
            <w:r w:rsidRPr="009301DF">
              <w:t>Wyłącznie do celów ilustracyjnych</w:t>
            </w:r>
          </w:p>
        </w:tc>
      </w:tr>
      <w:tr w:rsidR="00632C48" w:rsidRPr="009301DF" w14:paraId="755897AC" w14:textId="77777777" w:rsidTr="005F6F63">
        <w:trPr>
          <w:trHeight w:hRule="exact" w:val="427"/>
        </w:trPr>
        <w:tc>
          <w:tcPr>
            <w:tcW w:w="1282" w:type="dxa"/>
            <w:vMerge w:val="restart"/>
            <w:tcBorders>
              <w:top w:val="single" w:sz="4" w:space="0" w:color="auto"/>
              <w:left w:val="single" w:sz="4" w:space="0" w:color="auto"/>
            </w:tcBorders>
            <w:shd w:val="clear" w:color="auto" w:fill="auto"/>
          </w:tcPr>
          <w:p w14:paraId="3704B38A" w14:textId="77777777" w:rsidR="00632C48" w:rsidRPr="009301DF" w:rsidRDefault="005F6F63" w:rsidP="005F6F63">
            <w:pPr>
              <w:pStyle w:val="Inne0"/>
              <w:framePr w:w="12182" w:h="7603" w:wrap="none" w:vAnchor="page" w:hAnchor="page" w:x="1182" w:y="735"/>
              <w:spacing w:after="0"/>
            </w:pPr>
            <w:r w:rsidRPr="009301DF">
              <w:t>Produkt</w:t>
            </w:r>
          </w:p>
        </w:tc>
        <w:tc>
          <w:tcPr>
            <w:tcW w:w="1262" w:type="dxa"/>
            <w:vMerge w:val="restart"/>
            <w:tcBorders>
              <w:top w:val="single" w:sz="4" w:space="0" w:color="auto"/>
              <w:left w:val="single" w:sz="4" w:space="0" w:color="auto"/>
            </w:tcBorders>
            <w:shd w:val="clear" w:color="auto" w:fill="auto"/>
          </w:tcPr>
          <w:p w14:paraId="4A689364" w14:textId="77777777" w:rsidR="00632C48" w:rsidRPr="009301DF" w:rsidRDefault="005F6F63" w:rsidP="005F6F63">
            <w:pPr>
              <w:pStyle w:val="Inne0"/>
              <w:framePr w:w="12182" w:h="7603" w:wrap="none" w:vAnchor="page" w:hAnchor="page" w:x="1182" w:y="735"/>
              <w:spacing w:after="0"/>
            </w:pPr>
            <w:r w:rsidRPr="009301DF">
              <w:t>Zagrożenie:</w:t>
            </w:r>
          </w:p>
        </w:tc>
        <w:tc>
          <w:tcPr>
            <w:tcW w:w="1526" w:type="dxa"/>
            <w:vMerge w:val="restart"/>
            <w:tcBorders>
              <w:top w:val="single" w:sz="4" w:space="0" w:color="auto"/>
              <w:left w:val="single" w:sz="4" w:space="0" w:color="auto"/>
            </w:tcBorders>
            <w:shd w:val="clear" w:color="auto" w:fill="auto"/>
          </w:tcPr>
          <w:p w14:paraId="28EB5080" w14:textId="77777777" w:rsidR="00632C48" w:rsidRPr="009301DF" w:rsidRDefault="005F6F63" w:rsidP="005F6F63">
            <w:pPr>
              <w:pStyle w:val="Inne0"/>
              <w:framePr w:w="12182" w:h="7603" w:wrap="none" w:vAnchor="page" w:hAnchor="page" w:x="1182" w:y="735"/>
              <w:spacing w:after="0"/>
            </w:pPr>
            <w:r w:rsidRPr="009301DF">
              <w:t>Proces</w:t>
            </w:r>
          </w:p>
        </w:tc>
        <w:tc>
          <w:tcPr>
            <w:tcW w:w="1891" w:type="dxa"/>
            <w:vMerge w:val="restart"/>
            <w:tcBorders>
              <w:top w:val="single" w:sz="4" w:space="0" w:color="auto"/>
              <w:left w:val="single" w:sz="4" w:space="0" w:color="auto"/>
            </w:tcBorders>
            <w:shd w:val="clear" w:color="auto" w:fill="auto"/>
          </w:tcPr>
          <w:p w14:paraId="2BE8D9C1" w14:textId="4AEEC9DD" w:rsidR="00632C48" w:rsidRPr="009301DF" w:rsidRDefault="005F6F63" w:rsidP="005F6F63">
            <w:pPr>
              <w:pStyle w:val="Inne0"/>
              <w:framePr w:w="12182" w:h="7603" w:wrap="none" w:vAnchor="page" w:hAnchor="page" w:x="1182" w:y="735"/>
              <w:spacing w:after="0"/>
            </w:pPr>
            <w:r w:rsidRPr="009301DF">
              <w:t>Krytyczne parametry operacyjne</w:t>
            </w:r>
          </w:p>
        </w:tc>
        <w:tc>
          <w:tcPr>
            <w:tcW w:w="6221" w:type="dxa"/>
            <w:gridSpan w:val="2"/>
            <w:tcBorders>
              <w:top w:val="single" w:sz="4" w:space="0" w:color="auto"/>
              <w:left w:val="single" w:sz="4" w:space="0" w:color="auto"/>
              <w:right w:val="single" w:sz="4" w:space="0" w:color="auto"/>
            </w:tcBorders>
            <w:shd w:val="clear" w:color="auto" w:fill="auto"/>
          </w:tcPr>
          <w:p w14:paraId="1EF69902" w14:textId="77777777" w:rsidR="00632C48" w:rsidRPr="009301DF" w:rsidRDefault="005F6F63" w:rsidP="005F6F63">
            <w:pPr>
              <w:pStyle w:val="Inne0"/>
              <w:framePr w:w="12182" w:h="7603" w:wrap="none" w:vAnchor="page" w:hAnchor="page" w:x="1182" w:y="735"/>
              <w:spacing w:after="0"/>
            </w:pPr>
            <w:r w:rsidRPr="009301DF">
              <w:t>Potwierdzenie</w:t>
            </w:r>
          </w:p>
        </w:tc>
      </w:tr>
      <w:tr w:rsidR="00632C48" w:rsidRPr="009301DF" w14:paraId="3A496430" w14:textId="77777777" w:rsidTr="005F6F63">
        <w:trPr>
          <w:trHeight w:hRule="exact" w:val="576"/>
        </w:trPr>
        <w:tc>
          <w:tcPr>
            <w:tcW w:w="1282" w:type="dxa"/>
            <w:vMerge/>
            <w:tcBorders>
              <w:left w:val="single" w:sz="4" w:space="0" w:color="auto"/>
            </w:tcBorders>
            <w:shd w:val="clear" w:color="auto" w:fill="auto"/>
          </w:tcPr>
          <w:p w14:paraId="62BF994B" w14:textId="77777777" w:rsidR="00632C48" w:rsidRPr="009301DF" w:rsidRDefault="00632C48" w:rsidP="005F6F63">
            <w:pPr>
              <w:framePr w:w="12182" w:h="7603" w:wrap="none" w:vAnchor="page" w:hAnchor="page" w:x="1182" w:y="735"/>
            </w:pPr>
          </w:p>
        </w:tc>
        <w:tc>
          <w:tcPr>
            <w:tcW w:w="1262" w:type="dxa"/>
            <w:vMerge/>
            <w:tcBorders>
              <w:left w:val="single" w:sz="4" w:space="0" w:color="auto"/>
            </w:tcBorders>
            <w:shd w:val="clear" w:color="auto" w:fill="auto"/>
          </w:tcPr>
          <w:p w14:paraId="6B68BD2B" w14:textId="77777777" w:rsidR="00632C48" w:rsidRPr="009301DF" w:rsidRDefault="00632C48" w:rsidP="005F6F63">
            <w:pPr>
              <w:framePr w:w="12182" w:h="7603" w:wrap="none" w:vAnchor="page" w:hAnchor="page" w:x="1182" w:y="735"/>
            </w:pPr>
          </w:p>
        </w:tc>
        <w:tc>
          <w:tcPr>
            <w:tcW w:w="1526" w:type="dxa"/>
            <w:vMerge/>
            <w:tcBorders>
              <w:left w:val="single" w:sz="4" w:space="0" w:color="auto"/>
            </w:tcBorders>
            <w:shd w:val="clear" w:color="auto" w:fill="auto"/>
          </w:tcPr>
          <w:p w14:paraId="2C2DFC2E" w14:textId="77777777" w:rsidR="00632C48" w:rsidRPr="009301DF" w:rsidRDefault="00632C48" w:rsidP="005F6F63">
            <w:pPr>
              <w:framePr w:w="12182" w:h="7603" w:wrap="none" w:vAnchor="page" w:hAnchor="page" w:x="1182" w:y="735"/>
            </w:pPr>
          </w:p>
        </w:tc>
        <w:tc>
          <w:tcPr>
            <w:tcW w:w="1891" w:type="dxa"/>
            <w:vMerge/>
            <w:tcBorders>
              <w:left w:val="single" w:sz="4" w:space="0" w:color="auto"/>
            </w:tcBorders>
            <w:shd w:val="clear" w:color="auto" w:fill="auto"/>
          </w:tcPr>
          <w:p w14:paraId="7B30375D" w14:textId="77777777" w:rsidR="00632C48" w:rsidRPr="009301DF" w:rsidRDefault="00632C48" w:rsidP="005F6F63">
            <w:pPr>
              <w:framePr w:w="12182" w:h="7603" w:wrap="none" w:vAnchor="page" w:hAnchor="page" w:x="1182" w:y="735"/>
            </w:pPr>
          </w:p>
        </w:tc>
        <w:tc>
          <w:tcPr>
            <w:tcW w:w="3509" w:type="dxa"/>
            <w:tcBorders>
              <w:top w:val="single" w:sz="4" w:space="0" w:color="auto"/>
              <w:left w:val="single" w:sz="4" w:space="0" w:color="auto"/>
            </w:tcBorders>
            <w:shd w:val="clear" w:color="auto" w:fill="auto"/>
          </w:tcPr>
          <w:p w14:paraId="03C8F602" w14:textId="77777777" w:rsidR="00632C48" w:rsidRPr="009301DF" w:rsidRDefault="005F6F63" w:rsidP="005F6F63">
            <w:pPr>
              <w:pStyle w:val="Inne0"/>
              <w:framePr w:w="12182" w:h="7603" w:wrap="none" w:vAnchor="page" w:hAnchor="page" w:x="1182" w:y="735"/>
              <w:spacing w:after="0"/>
              <w:rPr>
                <w:sz w:val="22"/>
                <w:szCs w:val="22"/>
              </w:rPr>
            </w:pPr>
            <w:r w:rsidRPr="009301DF">
              <w:rPr>
                <w:sz w:val="22"/>
              </w:rPr>
              <w:t>Wsparcie naukowe lub techniczne</w:t>
            </w:r>
          </w:p>
        </w:tc>
        <w:tc>
          <w:tcPr>
            <w:tcW w:w="2712" w:type="dxa"/>
            <w:tcBorders>
              <w:top w:val="single" w:sz="4" w:space="0" w:color="auto"/>
              <w:left w:val="single" w:sz="4" w:space="0" w:color="auto"/>
              <w:right w:val="single" w:sz="4" w:space="0" w:color="auto"/>
            </w:tcBorders>
            <w:shd w:val="clear" w:color="auto" w:fill="auto"/>
          </w:tcPr>
          <w:p w14:paraId="4F924AB8" w14:textId="77777777" w:rsidR="00632C48" w:rsidRPr="009301DF" w:rsidRDefault="005F6F63" w:rsidP="005F6F63">
            <w:pPr>
              <w:pStyle w:val="Inne0"/>
              <w:framePr w:w="12182" w:h="7603" w:wrap="none" w:vAnchor="page" w:hAnchor="page" w:x="1182" w:y="735"/>
              <w:spacing w:after="0"/>
              <w:rPr>
                <w:sz w:val="22"/>
                <w:szCs w:val="22"/>
              </w:rPr>
            </w:pPr>
            <w:r w:rsidRPr="009301DF">
              <w:rPr>
                <w:sz w:val="22"/>
              </w:rPr>
              <w:t>Wewnątrzzakładowe dane walidacyjne</w:t>
            </w:r>
          </w:p>
        </w:tc>
      </w:tr>
      <w:tr w:rsidR="00632C48" w:rsidRPr="009301DF" w14:paraId="5672B008" w14:textId="77777777" w:rsidTr="005F6F63">
        <w:trPr>
          <w:trHeight w:hRule="exact" w:val="5813"/>
        </w:trPr>
        <w:tc>
          <w:tcPr>
            <w:tcW w:w="1282" w:type="dxa"/>
            <w:tcBorders>
              <w:top w:val="single" w:sz="4" w:space="0" w:color="auto"/>
              <w:left w:val="single" w:sz="4" w:space="0" w:color="auto"/>
              <w:bottom w:val="single" w:sz="4" w:space="0" w:color="auto"/>
            </w:tcBorders>
            <w:shd w:val="clear" w:color="auto" w:fill="auto"/>
          </w:tcPr>
          <w:p w14:paraId="2C955C22" w14:textId="77777777" w:rsidR="00632C48" w:rsidRPr="009301DF" w:rsidRDefault="005F6F63" w:rsidP="005F6F63">
            <w:pPr>
              <w:pStyle w:val="Inne0"/>
              <w:framePr w:w="12182" w:h="7603" w:wrap="none" w:vAnchor="page" w:hAnchor="page" w:x="1182" w:y="735"/>
              <w:spacing w:after="0"/>
            </w:pPr>
            <w:r w:rsidRPr="009301DF">
              <w:t>Surowa mielona wołowina lub obrzynki wołowiny do użycia w surowej mielonej wołowinie</w:t>
            </w:r>
          </w:p>
        </w:tc>
        <w:tc>
          <w:tcPr>
            <w:tcW w:w="1262" w:type="dxa"/>
            <w:tcBorders>
              <w:top w:val="single" w:sz="4" w:space="0" w:color="auto"/>
              <w:left w:val="single" w:sz="4" w:space="0" w:color="auto"/>
              <w:bottom w:val="single" w:sz="4" w:space="0" w:color="auto"/>
            </w:tcBorders>
            <w:shd w:val="clear" w:color="auto" w:fill="auto"/>
          </w:tcPr>
          <w:p w14:paraId="78FC3DE5" w14:textId="77777777" w:rsidR="00632C48" w:rsidRPr="009301DF" w:rsidRDefault="005F6F63" w:rsidP="005F6F63">
            <w:pPr>
              <w:pStyle w:val="Inne0"/>
              <w:framePr w:w="12182" w:h="7603" w:wrap="none" w:vAnchor="page" w:hAnchor="page" w:x="1182" w:y="735"/>
              <w:spacing w:after="0" w:line="252" w:lineRule="auto"/>
            </w:pPr>
            <w:r w:rsidRPr="009301DF">
              <w:rPr>
                <w:sz w:val="22"/>
              </w:rPr>
              <w:t xml:space="preserve">Biologiczne - </w:t>
            </w:r>
            <w:r w:rsidRPr="009301DF">
              <w:rPr>
                <w:i/>
              </w:rPr>
              <w:t xml:space="preserve">E. coli </w:t>
            </w:r>
            <w:r w:rsidRPr="009301DF">
              <w:t>O157:H7</w:t>
            </w:r>
          </w:p>
        </w:tc>
        <w:tc>
          <w:tcPr>
            <w:tcW w:w="1526" w:type="dxa"/>
            <w:tcBorders>
              <w:top w:val="single" w:sz="4" w:space="0" w:color="auto"/>
              <w:left w:val="single" w:sz="4" w:space="0" w:color="auto"/>
              <w:bottom w:val="single" w:sz="4" w:space="0" w:color="auto"/>
            </w:tcBorders>
            <w:shd w:val="clear" w:color="auto" w:fill="auto"/>
          </w:tcPr>
          <w:p w14:paraId="7FDF6735" w14:textId="77777777" w:rsidR="00632C48" w:rsidRPr="009301DF" w:rsidRDefault="005F6F63" w:rsidP="005F6F63">
            <w:pPr>
              <w:pStyle w:val="Inne0"/>
              <w:framePr w:w="12182" w:h="7603" w:wrap="none" w:vAnchor="page" w:hAnchor="page" w:x="1182" w:y="735"/>
              <w:spacing w:after="0"/>
            </w:pPr>
            <w:r w:rsidRPr="009301DF">
              <w:t>Program wstępny: Programy dla dostawców</w:t>
            </w:r>
          </w:p>
        </w:tc>
        <w:tc>
          <w:tcPr>
            <w:tcW w:w="1891" w:type="dxa"/>
            <w:tcBorders>
              <w:top w:val="single" w:sz="4" w:space="0" w:color="auto"/>
              <w:left w:val="single" w:sz="4" w:space="0" w:color="auto"/>
              <w:bottom w:val="single" w:sz="4" w:space="0" w:color="auto"/>
            </w:tcBorders>
            <w:shd w:val="clear" w:color="auto" w:fill="auto"/>
          </w:tcPr>
          <w:p w14:paraId="3887678C" w14:textId="77777777" w:rsidR="00632C48" w:rsidRPr="009301DF" w:rsidRDefault="005F6F63" w:rsidP="005F6F63">
            <w:pPr>
              <w:pStyle w:val="Inne0"/>
              <w:framePr w:w="12182" w:h="7603" w:wrap="none" w:vAnchor="page" w:hAnchor="page" w:x="1182" w:y="735"/>
              <w:spacing w:after="0"/>
            </w:pPr>
            <w:r w:rsidRPr="009301DF">
              <w:t>Program dla dostawców w celu zademonstrowania strategii działania interwencyjnego w zakresie patogenów, w tym protokołu testowania oraz powiadamiania o wynikach testów.</w:t>
            </w:r>
          </w:p>
        </w:tc>
        <w:tc>
          <w:tcPr>
            <w:tcW w:w="3509" w:type="dxa"/>
            <w:tcBorders>
              <w:top w:val="single" w:sz="4" w:space="0" w:color="auto"/>
              <w:left w:val="single" w:sz="4" w:space="0" w:color="auto"/>
              <w:bottom w:val="single" w:sz="4" w:space="0" w:color="auto"/>
            </w:tcBorders>
            <w:shd w:val="clear" w:color="auto" w:fill="auto"/>
          </w:tcPr>
          <w:p w14:paraId="3D9C331C" w14:textId="77777777" w:rsidR="00632C48" w:rsidRPr="009301DF" w:rsidRDefault="005F6F63" w:rsidP="005F6F63">
            <w:pPr>
              <w:pStyle w:val="Inne0"/>
              <w:framePr w:w="12182" w:h="7603" w:wrap="none" w:vAnchor="page" w:hAnchor="page" w:x="1182" w:y="735"/>
            </w:pPr>
            <w:r w:rsidRPr="009301DF">
              <w:t xml:space="preserve">Dokumentacja od dostawcy zapewniająca, że dostawca stosuje zatwierdzone działania interwencyjne dotyczące </w:t>
            </w:r>
            <w:r w:rsidRPr="009301DF">
              <w:rPr>
                <w:i/>
              </w:rPr>
              <w:t>E. coli</w:t>
            </w:r>
            <w:r w:rsidRPr="009301DF">
              <w:t xml:space="preserve"> O157:H7, certyfikaty analizy lub informacje internetowe, które przekazują te same informacje, zapisy bieżącej komunikacji z dostawcą oraz dane weryfikacyjne na poparcie spełnienia pierwszych dwóch warunków.</w:t>
            </w:r>
          </w:p>
          <w:p w14:paraId="2C619D6D" w14:textId="77777777" w:rsidR="00632C48" w:rsidRPr="009301DF" w:rsidRDefault="005F6F63" w:rsidP="005F6F63">
            <w:pPr>
              <w:pStyle w:val="Inne0"/>
              <w:framePr w:w="12182" w:h="7603" w:wrap="none" w:vAnchor="page" w:hAnchor="page" w:x="1182" w:y="735"/>
              <w:spacing w:after="0"/>
            </w:pPr>
            <w:r w:rsidRPr="009301DF">
              <w:t>Rada ds. Bezpieczeństwa Żywności Przemysłu Wołowego (BIFSC). 2009. Najlepsze praktyki dla surowych produktów z mielonej wołowiny.</w:t>
            </w: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7E139C9" w14:textId="77777777" w:rsidR="00632C48" w:rsidRPr="009301DF" w:rsidRDefault="005F6F63" w:rsidP="005F6F63">
            <w:pPr>
              <w:pStyle w:val="Inne0"/>
              <w:framePr w:w="12182" w:h="7603" w:wrap="none" w:vAnchor="page" w:hAnchor="page" w:x="1182" w:y="735"/>
              <w:spacing w:after="0"/>
            </w:pPr>
            <w:r w:rsidRPr="009301DF">
              <w:t>Dokumentacja w zakładzie za okres 90 dni pokazująca, że pracownicy zakładu uzyskują i weryfikują specyfikację zakupu pod kątem adekwatności, przy odbiorze każdej partii, oraz wszelkie dodatkowe wyniki testów weryfikacyjnych lub informacje internetowe dotyczące przychodzących partii produktów.</w:t>
            </w:r>
          </w:p>
        </w:tc>
      </w:tr>
    </w:tbl>
    <w:p w14:paraId="08D7FED9"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61587970"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282"/>
        <w:gridCol w:w="1620"/>
        <w:gridCol w:w="1350"/>
        <w:gridCol w:w="1708"/>
        <w:gridCol w:w="3508"/>
        <w:gridCol w:w="2714"/>
      </w:tblGrid>
      <w:tr w:rsidR="00632C48" w:rsidRPr="009301DF" w14:paraId="61A02902" w14:textId="77777777" w:rsidTr="002F0761">
        <w:trPr>
          <w:trHeight w:hRule="exact" w:val="572"/>
        </w:trPr>
        <w:tc>
          <w:tcPr>
            <w:tcW w:w="5000" w:type="pct"/>
            <w:gridSpan w:val="6"/>
            <w:shd w:val="clear" w:color="auto" w:fill="auto"/>
          </w:tcPr>
          <w:p w14:paraId="1A3796C8" w14:textId="77777777" w:rsidR="00632C48" w:rsidRPr="009301DF" w:rsidRDefault="005F6F63" w:rsidP="002F0761">
            <w:pPr>
              <w:pStyle w:val="Inne0"/>
              <w:framePr w:w="12182" w:h="7051" w:wrap="none" w:vAnchor="page" w:hAnchor="page" w:x="1182" w:y="735"/>
              <w:spacing w:after="0"/>
            </w:pPr>
            <w:r w:rsidRPr="009301DF">
              <w:t>Wyłącznie do celów ilustracyjnych</w:t>
            </w:r>
          </w:p>
        </w:tc>
      </w:tr>
      <w:tr w:rsidR="00632C48" w:rsidRPr="009301DF" w14:paraId="4DB27CD7" w14:textId="77777777" w:rsidTr="002F0761">
        <w:trPr>
          <w:trHeight w:hRule="exact" w:val="522"/>
        </w:trPr>
        <w:tc>
          <w:tcPr>
            <w:tcW w:w="526" w:type="pct"/>
            <w:vMerge w:val="restart"/>
            <w:tcBorders>
              <w:top w:val="single" w:sz="4" w:space="0" w:color="auto"/>
              <w:left w:val="single" w:sz="4" w:space="0" w:color="auto"/>
            </w:tcBorders>
            <w:shd w:val="clear" w:color="auto" w:fill="auto"/>
          </w:tcPr>
          <w:p w14:paraId="58520DF6" w14:textId="77777777" w:rsidR="00632C48" w:rsidRPr="009301DF" w:rsidRDefault="005F6F63" w:rsidP="005F6F63">
            <w:pPr>
              <w:pStyle w:val="Inne0"/>
              <w:framePr w:w="12182" w:h="7051" w:wrap="none" w:vAnchor="page" w:hAnchor="page" w:x="1182" w:y="735"/>
              <w:spacing w:after="0"/>
            </w:pPr>
            <w:r w:rsidRPr="009301DF">
              <w:t>Produkt</w:t>
            </w:r>
          </w:p>
        </w:tc>
        <w:tc>
          <w:tcPr>
            <w:tcW w:w="665" w:type="pct"/>
            <w:vMerge w:val="restart"/>
            <w:tcBorders>
              <w:top w:val="single" w:sz="4" w:space="0" w:color="auto"/>
              <w:left w:val="single" w:sz="4" w:space="0" w:color="auto"/>
            </w:tcBorders>
            <w:shd w:val="clear" w:color="auto" w:fill="auto"/>
          </w:tcPr>
          <w:p w14:paraId="5EEE8735" w14:textId="77777777" w:rsidR="00632C48" w:rsidRPr="009301DF" w:rsidRDefault="005F6F63" w:rsidP="005F6F63">
            <w:pPr>
              <w:pStyle w:val="Inne0"/>
              <w:framePr w:w="12182" w:h="7051" w:wrap="none" w:vAnchor="page" w:hAnchor="page" w:x="1182" w:y="735"/>
              <w:spacing w:after="0"/>
            </w:pPr>
            <w:r w:rsidRPr="009301DF">
              <w:t>Zagrożenie:</w:t>
            </w:r>
          </w:p>
        </w:tc>
        <w:tc>
          <w:tcPr>
            <w:tcW w:w="554" w:type="pct"/>
            <w:vMerge w:val="restart"/>
            <w:tcBorders>
              <w:top w:val="single" w:sz="4" w:space="0" w:color="auto"/>
              <w:left w:val="single" w:sz="4" w:space="0" w:color="auto"/>
            </w:tcBorders>
            <w:shd w:val="clear" w:color="auto" w:fill="auto"/>
          </w:tcPr>
          <w:p w14:paraId="7FC5EB38" w14:textId="77777777" w:rsidR="00632C48" w:rsidRPr="009301DF" w:rsidRDefault="005F6F63" w:rsidP="005F6F63">
            <w:pPr>
              <w:pStyle w:val="Inne0"/>
              <w:framePr w:w="12182" w:h="7051" w:wrap="none" w:vAnchor="page" w:hAnchor="page" w:x="1182" w:y="735"/>
              <w:spacing w:after="0"/>
            </w:pPr>
            <w:r w:rsidRPr="009301DF">
              <w:t>Proces</w:t>
            </w:r>
          </w:p>
        </w:tc>
        <w:tc>
          <w:tcPr>
            <w:tcW w:w="701" w:type="pct"/>
            <w:vMerge w:val="restart"/>
            <w:tcBorders>
              <w:top w:val="single" w:sz="4" w:space="0" w:color="auto"/>
              <w:left w:val="single" w:sz="4" w:space="0" w:color="auto"/>
            </w:tcBorders>
            <w:shd w:val="clear" w:color="auto" w:fill="auto"/>
          </w:tcPr>
          <w:p w14:paraId="1C258340" w14:textId="6A0790E4" w:rsidR="00632C48" w:rsidRPr="009301DF" w:rsidRDefault="005F6F63" w:rsidP="005F6F63">
            <w:pPr>
              <w:pStyle w:val="Inne0"/>
              <w:framePr w:w="12182" w:h="7051" w:wrap="none" w:vAnchor="page" w:hAnchor="page" w:x="1182" w:y="735"/>
              <w:spacing w:after="0"/>
            </w:pPr>
            <w:r w:rsidRPr="009301DF">
              <w:t>Krytyczne parametry operacyjne</w:t>
            </w:r>
          </w:p>
        </w:tc>
        <w:tc>
          <w:tcPr>
            <w:tcW w:w="2554" w:type="pct"/>
            <w:gridSpan w:val="2"/>
            <w:tcBorders>
              <w:top w:val="single" w:sz="4" w:space="0" w:color="auto"/>
              <w:left w:val="single" w:sz="4" w:space="0" w:color="auto"/>
              <w:right w:val="single" w:sz="4" w:space="0" w:color="auto"/>
            </w:tcBorders>
            <w:shd w:val="clear" w:color="auto" w:fill="auto"/>
          </w:tcPr>
          <w:p w14:paraId="6628FE59" w14:textId="77777777" w:rsidR="00632C48" w:rsidRPr="009301DF" w:rsidRDefault="005F6F63" w:rsidP="005F6F63">
            <w:pPr>
              <w:pStyle w:val="Inne0"/>
              <w:framePr w:w="12182" w:h="7051" w:wrap="none" w:vAnchor="page" w:hAnchor="page" w:x="1182" w:y="735"/>
              <w:spacing w:after="0"/>
            </w:pPr>
            <w:r w:rsidRPr="009301DF">
              <w:t>Potwierdzenie</w:t>
            </w:r>
          </w:p>
        </w:tc>
      </w:tr>
      <w:tr w:rsidR="00632C48" w:rsidRPr="009301DF" w14:paraId="09CAE161" w14:textId="77777777" w:rsidTr="002F0761">
        <w:trPr>
          <w:trHeight w:hRule="exact" w:val="704"/>
        </w:trPr>
        <w:tc>
          <w:tcPr>
            <w:tcW w:w="526" w:type="pct"/>
            <w:vMerge/>
            <w:tcBorders>
              <w:left w:val="single" w:sz="4" w:space="0" w:color="auto"/>
            </w:tcBorders>
            <w:shd w:val="clear" w:color="auto" w:fill="auto"/>
          </w:tcPr>
          <w:p w14:paraId="536C1C25" w14:textId="77777777" w:rsidR="00632C48" w:rsidRPr="009301DF" w:rsidRDefault="00632C48" w:rsidP="005F6F63">
            <w:pPr>
              <w:framePr w:w="12182" w:h="7051" w:wrap="none" w:vAnchor="page" w:hAnchor="page" w:x="1182" w:y="735"/>
            </w:pPr>
          </w:p>
        </w:tc>
        <w:tc>
          <w:tcPr>
            <w:tcW w:w="665" w:type="pct"/>
            <w:vMerge/>
            <w:tcBorders>
              <w:left w:val="single" w:sz="4" w:space="0" w:color="auto"/>
            </w:tcBorders>
            <w:shd w:val="clear" w:color="auto" w:fill="auto"/>
          </w:tcPr>
          <w:p w14:paraId="7580A1B0" w14:textId="77777777" w:rsidR="00632C48" w:rsidRPr="009301DF" w:rsidRDefault="00632C48" w:rsidP="005F6F63">
            <w:pPr>
              <w:framePr w:w="12182" w:h="7051" w:wrap="none" w:vAnchor="page" w:hAnchor="page" w:x="1182" w:y="735"/>
            </w:pPr>
          </w:p>
        </w:tc>
        <w:tc>
          <w:tcPr>
            <w:tcW w:w="554" w:type="pct"/>
            <w:vMerge/>
            <w:tcBorders>
              <w:left w:val="single" w:sz="4" w:space="0" w:color="auto"/>
            </w:tcBorders>
            <w:shd w:val="clear" w:color="auto" w:fill="auto"/>
          </w:tcPr>
          <w:p w14:paraId="62C7CC81" w14:textId="77777777" w:rsidR="00632C48" w:rsidRPr="009301DF" w:rsidRDefault="00632C48" w:rsidP="005F6F63">
            <w:pPr>
              <w:framePr w:w="12182" w:h="7051" w:wrap="none" w:vAnchor="page" w:hAnchor="page" w:x="1182" w:y="735"/>
            </w:pPr>
          </w:p>
        </w:tc>
        <w:tc>
          <w:tcPr>
            <w:tcW w:w="701" w:type="pct"/>
            <w:vMerge/>
            <w:tcBorders>
              <w:left w:val="single" w:sz="4" w:space="0" w:color="auto"/>
            </w:tcBorders>
            <w:shd w:val="clear" w:color="auto" w:fill="auto"/>
          </w:tcPr>
          <w:p w14:paraId="25FD5C8A" w14:textId="77777777" w:rsidR="00632C48" w:rsidRPr="009301DF" w:rsidRDefault="00632C48" w:rsidP="005F6F63">
            <w:pPr>
              <w:framePr w:w="12182" w:h="7051" w:wrap="none" w:vAnchor="page" w:hAnchor="page" w:x="1182" w:y="735"/>
            </w:pPr>
          </w:p>
        </w:tc>
        <w:tc>
          <w:tcPr>
            <w:tcW w:w="1440" w:type="pct"/>
            <w:tcBorders>
              <w:top w:val="single" w:sz="4" w:space="0" w:color="auto"/>
              <w:left w:val="single" w:sz="4" w:space="0" w:color="auto"/>
            </w:tcBorders>
            <w:shd w:val="clear" w:color="auto" w:fill="auto"/>
          </w:tcPr>
          <w:p w14:paraId="03D3CE49" w14:textId="77777777" w:rsidR="00632C48" w:rsidRPr="009301DF" w:rsidRDefault="005F6F63" w:rsidP="005F6F63">
            <w:pPr>
              <w:pStyle w:val="Inne0"/>
              <w:framePr w:w="12182" w:h="7051" w:wrap="none" w:vAnchor="page" w:hAnchor="page" w:x="1182" w:y="735"/>
              <w:spacing w:after="0"/>
              <w:rPr>
                <w:sz w:val="22"/>
                <w:szCs w:val="22"/>
              </w:rPr>
            </w:pPr>
            <w:r w:rsidRPr="009301DF">
              <w:rPr>
                <w:sz w:val="22"/>
              </w:rPr>
              <w:t>Wsparcie naukowe lub techniczne</w:t>
            </w:r>
          </w:p>
        </w:tc>
        <w:tc>
          <w:tcPr>
            <w:tcW w:w="1114" w:type="pct"/>
            <w:tcBorders>
              <w:top w:val="single" w:sz="4" w:space="0" w:color="auto"/>
              <w:left w:val="single" w:sz="4" w:space="0" w:color="auto"/>
              <w:right w:val="single" w:sz="4" w:space="0" w:color="auto"/>
            </w:tcBorders>
            <w:shd w:val="clear" w:color="auto" w:fill="auto"/>
          </w:tcPr>
          <w:p w14:paraId="6F9D8A2D" w14:textId="77777777" w:rsidR="00632C48" w:rsidRPr="009301DF" w:rsidRDefault="005F6F63" w:rsidP="005F6F63">
            <w:pPr>
              <w:pStyle w:val="Inne0"/>
              <w:framePr w:w="12182" w:h="7051" w:wrap="none" w:vAnchor="page" w:hAnchor="page" w:x="1182" w:y="735"/>
              <w:spacing w:after="0"/>
              <w:rPr>
                <w:sz w:val="22"/>
                <w:szCs w:val="22"/>
              </w:rPr>
            </w:pPr>
            <w:r w:rsidRPr="009301DF">
              <w:rPr>
                <w:sz w:val="22"/>
              </w:rPr>
              <w:t>Wewnątrzzakładowe dane walidacyjne</w:t>
            </w:r>
          </w:p>
        </w:tc>
      </w:tr>
      <w:tr w:rsidR="00632C48" w:rsidRPr="009301DF" w14:paraId="1D341290" w14:textId="77777777" w:rsidTr="002F0761">
        <w:trPr>
          <w:trHeight w:hRule="exact" w:val="6431"/>
        </w:trPr>
        <w:tc>
          <w:tcPr>
            <w:tcW w:w="526" w:type="pct"/>
            <w:tcBorders>
              <w:top w:val="single" w:sz="4" w:space="0" w:color="auto"/>
              <w:left w:val="single" w:sz="4" w:space="0" w:color="auto"/>
              <w:bottom w:val="single" w:sz="4" w:space="0" w:color="auto"/>
            </w:tcBorders>
            <w:shd w:val="clear" w:color="auto" w:fill="auto"/>
          </w:tcPr>
          <w:p w14:paraId="4734F19F" w14:textId="77777777" w:rsidR="00632C48" w:rsidRPr="009301DF" w:rsidRDefault="005F6F63" w:rsidP="005F6F63">
            <w:pPr>
              <w:pStyle w:val="Inne0"/>
              <w:framePr w:w="12182" w:h="7051" w:wrap="none" w:vAnchor="page" w:hAnchor="page" w:x="1182" w:y="735"/>
              <w:spacing w:after="0"/>
            </w:pPr>
            <w:r w:rsidRPr="009301DF">
              <w:t>Surowa mielona wołowina lub wykrawki wołowiny do użycia w surowej mielonej wołowinie</w:t>
            </w:r>
          </w:p>
        </w:tc>
        <w:tc>
          <w:tcPr>
            <w:tcW w:w="665" w:type="pct"/>
            <w:tcBorders>
              <w:top w:val="single" w:sz="4" w:space="0" w:color="auto"/>
              <w:left w:val="single" w:sz="4" w:space="0" w:color="auto"/>
              <w:bottom w:val="single" w:sz="4" w:space="0" w:color="auto"/>
            </w:tcBorders>
            <w:shd w:val="clear" w:color="auto" w:fill="auto"/>
          </w:tcPr>
          <w:p w14:paraId="5526411E" w14:textId="77777777" w:rsidR="00632C48" w:rsidRPr="009301DF" w:rsidRDefault="005F6F63" w:rsidP="005F6F63">
            <w:pPr>
              <w:pStyle w:val="Inne0"/>
              <w:framePr w:w="12182" w:h="7051" w:wrap="none" w:vAnchor="page" w:hAnchor="page" w:x="1182" w:y="735"/>
              <w:spacing w:after="0"/>
            </w:pPr>
            <w:r w:rsidRPr="009301DF">
              <w:rPr>
                <w:sz w:val="22"/>
              </w:rPr>
              <w:t xml:space="preserve">Biologiczne - </w:t>
            </w:r>
            <w:r w:rsidRPr="009301DF">
              <w:rPr>
                <w:i/>
              </w:rPr>
              <w:t xml:space="preserve">E. coli </w:t>
            </w:r>
            <w:r w:rsidRPr="009301DF">
              <w:t>O157:H7</w:t>
            </w:r>
          </w:p>
        </w:tc>
        <w:tc>
          <w:tcPr>
            <w:tcW w:w="554" w:type="pct"/>
            <w:tcBorders>
              <w:top w:val="single" w:sz="4" w:space="0" w:color="auto"/>
              <w:left w:val="single" w:sz="4" w:space="0" w:color="auto"/>
              <w:bottom w:val="single" w:sz="4" w:space="0" w:color="auto"/>
            </w:tcBorders>
            <w:shd w:val="clear" w:color="auto" w:fill="auto"/>
          </w:tcPr>
          <w:p w14:paraId="379D0C5E" w14:textId="77777777" w:rsidR="00632C48" w:rsidRPr="009301DF" w:rsidRDefault="005F6F63" w:rsidP="005F6F63">
            <w:pPr>
              <w:pStyle w:val="Inne0"/>
              <w:framePr w:w="12182" w:h="7051" w:wrap="none" w:vAnchor="page" w:hAnchor="page" w:x="1182" w:y="735"/>
              <w:spacing w:after="0"/>
            </w:pPr>
            <w:r w:rsidRPr="009301DF">
              <w:t>Trymowanie przed mieleniem</w:t>
            </w:r>
          </w:p>
        </w:tc>
        <w:tc>
          <w:tcPr>
            <w:tcW w:w="701" w:type="pct"/>
            <w:tcBorders>
              <w:top w:val="single" w:sz="4" w:space="0" w:color="auto"/>
              <w:left w:val="single" w:sz="4" w:space="0" w:color="auto"/>
              <w:bottom w:val="single" w:sz="4" w:space="0" w:color="auto"/>
            </w:tcBorders>
            <w:shd w:val="clear" w:color="auto" w:fill="auto"/>
          </w:tcPr>
          <w:p w14:paraId="1EF03E47" w14:textId="77777777" w:rsidR="00632C48" w:rsidRPr="009301DF" w:rsidRDefault="005F6F63" w:rsidP="005F6F63">
            <w:pPr>
              <w:pStyle w:val="Inne0"/>
              <w:framePr w:w="12182" w:h="7051" w:wrap="none" w:vAnchor="page" w:hAnchor="page" w:x="1182" w:y="735"/>
            </w:pPr>
            <w:r w:rsidRPr="009301DF">
              <w:t>Kwas octowy (2%); LUB Kwas mlekowy (2%) natryskiwany na obrzynki przez 20 s przy ciśnieniu 20 psi i temperaturze 55°C przy użyciu wykonanego na zamówienie urządzenia myjącego ze stali nierdzewnej (komora natryskowa CHAD).</w:t>
            </w:r>
          </w:p>
          <w:p w14:paraId="0191F241" w14:textId="77777777" w:rsidR="00632C48" w:rsidRPr="009301DF" w:rsidRDefault="005F6F63" w:rsidP="005F6F63">
            <w:pPr>
              <w:pStyle w:val="Inne0"/>
              <w:framePr w:w="12182" w:h="7051" w:wrap="none" w:vAnchor="page" w:hAnchor="page" w:x="1182" w:y="735"/>
              <w:spacing w:after="0"/>
            </w:pPr>
            <w:r w:rsidRPr="009301DF">
              <w:t>Pełne pokrycie obrzynek.</w:t>
            </w:r>
          </w:p>
        </w:tc>
        <w:tc>
          <w:tcPr>
            <w:tcW w:w="1440" w:type="pct"/>
            <w:tcBorders>
              <w:top w:val="single" w:sz="4" w:space="0" w:color="auto"/>
              <w:left w:val="single" w:sz="4" w:space="0" w:color="auto"/>
              <w:bottom w:val="single" w:sz="4" w:space="0" w:color="auto"/>
            </w:tcBorders>
            <w:shd w:val="clear" w:color="auto" w:fill="auto"/>
          </w:tcPr>
          <w:p w14:paraId="57074D87" w14:textId="77777777" w:rsidR="00632C48" w:rsidRPr="009301DF" w:rsidRDefault="005F6F63" w:rsidP="005F6F63">
            <w:pPr>
              <w:pStyle w:val="Inne0"/>
              <w:framePr w:w="12182" w:h="7051" w:wrap="none" w:vAnchor="page" w:hAnchor="page" w:x="1182" w:y="735"/>
              <w:spacing w:after="260"/>
            </w:pPr>
            <w:r w:rsidRPr="00540146">
              <w:rPr>
                <w:lang w:val="en-US"/>
              </w:rPr>
              <w:t>Carpenter, C.E., Smith, J.V., i Broadbent, J.R. 2011. Skuteczność mycia powierzchni mięsa 2% kwasem lewulinowym, octowym lub mlekowym w celu odkażenia patogenów i zahamowania wzrostu resztkowego (</w:t>
            </w:r>
            <w:r w:rsidRPr="00540146">
              <w:rPr>
                <w:i/>
                <w:iCs/>
                <w:lang w:val="en-US"/>
              </w:rPr>
              <w:t>Efficacy of washing meat surfaces with 2% levulinic, acetic, or lactic acid for pathogen decontamination and residual growth inhibition</w:t>
            </w:r>
            <w:r w:rsidRPr="00540146">
              <w:rPr>
                <w:lang w:val="en-US"/>
              </w:rPr>
              <w:t xml:space="preserve">). </w:t>
            </w:r>
            <w:r w:rsidRPr="009301DF">
              <w:rPr>
                <w:i/>
              </w:rPr>
              <w:t>Meat Sci.</w:t>
            </w:r>
            <w:r w:rsidRPr="009301DF">
              <w:t xml:space="preserve"> 88-256-260</w:t>
            </w:r>
          </w:p>
          <w:p w14:paraId="4E360A70" w14:textId="77777777" w:rsidR="00632C48" w:rsidRPr="009301DF" w:rsidRDefault="005F6F63" w:rsidP="005F6F63">
            <w:pPr>
              <w:pStyle w:val="Inne0"/>
              <w:framePr w:w="12182" w:h="7051" w:wrap="none" w:vAnchor="page" w:hAnchor="page" w:x="1182" w:y="735"/>
              <w:spacing w:after="0" w:line="262" w:lineRule="auto"/>
              <w:rPr>
                <w:sz w:val="22"/>
                <w:szCs w:val="22"/>
              </w:rPr>
            </w:pPr>
            <w:r w:rsidRPr="009301DF">
              <w:rPr>
                <w:sz w:val="22"/>
              </w:rPr>
              <w:t>Dyrektywa FSIS 7120.1</w:t>
            </w:r>
          </w:p>
        </w:tc>
        <w:tc>
          <w:tcPr>
            <w:tcW w:w="1114" w:type="pct"/>
            <w:tcBorders>
              <w:top w:val="single" w:sz="4" w:space="0" w:color="auto"/>
              <w:left w:val="single" w:sz="4" w:space="0" w:color="auto"/>
              <w:bottom w:val="single" w:sz="4" w:space="0" w:color="auto"/>
              <w:right w:val="single" w:sz="4" w:space="0" w:color="auto"/>
            </w:tcBorders>
            <w:shd w:val="clear" w:color="auto" w:fill="auto"/>
          </w:tcPr>
          <w:p w14:paraId="0A3B3A31" w14:textId="77777777" w:rsidR="00632C48" w:rsidRPr="009301DF" w:rsidRDefault="005F6F63" w:rsidP="005F6F63">
            <w:pPr>
              <w:pStyle w:val="Inne0"/>
              <w:framePr w:w="12182" w:h="7051" w:wrap="none" w:vAnchor="page" w:hAnchor="page" w:x="1182" w:y="735"/>
              <w:spacing w:after="0"/>
            </w:pPr>
            <w:r w:rsidRPr="009301DF">
              <w:t>Zapisy monitorowania w zakładzie za okres 90 dni zapisane w arkuszu roboczym Trim Spray Cabinet wykazujące, że środek przeciwdrobnoustrojowy jest stosowany zgodnie ze stężeniem, ciśnieniem, czasem przebywania i temperaturą w wyrobie. Zapisy wykazujące, że całkowite pokrycie obrzynek jest konsekwentnie osiągane.</w:t>
            </w:r>
          </w:p>
        </w:tc>
      </w:tr>
    </w:tbl>
    <w:p w14:paraId="71B8F0F5"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5F00CE41" w14:textId="547E8410" w:rsidR="00632C48" w:rsidRPr="009301DF" w:rsidRDefault="002F0761">
      <w:pPr>
        <w:spacing w:line="1" w:lineRule="exact"/>
      </w:pPr>
      <w:r>
        <w:rPr>
          <w:noProof/>
        </w:rPr>
        <w:lastRenderedPageBreak/>
        <mc:AlternateContent>
          <mc:Choice Requires="wps">
            <w:drawing>
              <wp:anchor distT="0" distB="0" distL="114300" distR="114300" simplePos="0" relativeHeight="251661312" behindDoc="0" locked="0" layoutInCell="1" allowOverlap="1" wp14:anchorId="149D3B39" wp14:editId="28D7E25E">
                <wp:simplePos x="0" y="0"/>
                <wp:positionH relativeFrom="column">
                  <wp:posOffset>480974</wp:posOffset>
                </wp:positionH>
                <wp:positionV relativeFrom="paragraph">
                  <wp:posOffset>151790</wp:posOffset>
                </wp:positionV>
                <wp:extent cx="7783373" cy="7103060"/>
                <wp:effectExtent l="0" t="0" r="8255" b="3175"/>
                <wp:wrapNone/>
                <wp:docPr id="1907183784" name="Pole tekstowe 3"/>
                <wp:cNvGraphicFramePr/>
                <a:graphic xmlns:a="http://schemas.openxmlformats.org/drawingml/2006/main">
                  <a:graphicData uri="http://schemas.microsoft.com/office/word/2010/wordprocessingShape">
                    <wps:wsp>
                      <wps:cNvSpPr txBox="1"/>
                      <wps:spPr>
                        <a:xfrm>
                          <a:off x="0" y="0"/>
                          <a:ext cx="7783373" cy="7103060"/>
                        </a:xfrm>
                        <a:prstGeom prst="rect">
                          <a:avLst/>
                        </a:prstGeom>
                        <a:solidFill>
                          <a:schemeClr val="lt1"/>
                        </a:solidFill>
                        <a:ln w="6350">
                          <a:noFill/>
                        </a:ln>
                      </wps:spPr>
                      <wps:txbx>
                        <w:txbxContent>
                          <w:tbl>
                            <w:tblPr>
                              <w:tblOverlap w:val="never"/>
                              <w:tblW w:w="5000" w:type="pct"/>
                              <w:tblCellMar>
                                <w:left w:w="10" w:type="dxa"/>
                                <w:right w:w="10" w:type="dxa"/>
                              </w:tblCellMar>
                              <w:tblLook w:val="04A0" w:firstRow="1" w:lastRow="0" w:firstColumn="1" w:lastColumn="0" w:noHBand="0" w:noVBand="1"/>
                            </w:tblPr>
                            <w:tblGrid>
                              <w:gridCol w:w="1063"/>
                              <w:gridCol w:w="1610"/>
                              <w:gridCol w:w="1128"/>
                              <w:gridCol w:w="3305"/>
                              <w:gridCol w:w="2271"/>
                              <w:gridCol w:w="2436"/>
                              <w:gridCol w:w="161"/>
                            </w:tblGrid>
                            <w:tr w:rsidR="002F0761" w:rsidRPr="009301DF" w14:paraId="55D9E18B" w14:textId="77777777" w:rsidTr="002F0761">
                              <w:trPr>
                                <w:trHeight w:hRule="exact" w:val="402"/>
                              </w:trPr>
                              <w:tc>
                                <w:tcPr>
                                  <w:tcW w:w="4932" w:type="pct"/>
                                  <w:gridSpan w:val="6"/>
                                  <w:shd w:val="clear" w:color="auto" w:fill="auto"/>
                                </w:tcPr>
                                <w:p w14:paraId="4AB6DB13" w14:textId="77777777" w:rsidR="002F0761" w:rsidRPr="009301DF" w:rsidRDefault="002F0761" w:rsidP="002F0761">
                                  <w:pPr>
                                    <w:pStyle w:val="Inne0"/>
                                    <w:spacing w:after="0"/>
                                  </w:pPr>
                                  <w:r w:rsidRPr="009301DF">
                                    <w:t>Wyłącznie do celów ilustracyjnych</w:t>
                                  </w:r>
                                </w:p>
                              </w:tc>
                              <w:tc>
                                <w:tcPr>
                                  <w:tcW w:w="68" w:type="pct"/>
                                  <w:shd w:val="clear" w:color="auto" w:fill="auto"/>
                                </w:tcPr>
                                <w:p w14:paraId="63FF57D8" w14:textId="77777777" w:rsidR="002F0761" w:rsidRPr="009301DF" w:rsidRDefault="002F0761" w:rsidP="002F0761">
                                  <w:pPr>
                                    <w:rPr>
                                      <w:sz w:val="10"/>
                                      <w:szCs w:val="10"/>
                                    </w:rPr>
                                  </w:pPr>
                                </w:p>
                              </w:tc>
                            </w:tr>
                            <w:tr w:rsidR="002F0761" w:rsidRPr="009301DF" w14:paraId="22DE077E" w14:textId="77777777" w:rsidTr="002F0761">
                              <w:trPr>
                                <w:trHeight w:hRule="exact" w:val="285"/>
                              </w:trPr>
                              <w:tc>
                                <w:tcPr>
                                  <w:tcW w:w="445" w:type="pct"/>
                                  <w:vMerge w:val="restart"/>
                                  <w:tcBorders>
                                    <w:top w:val="single" w:sz="4" w:space="0" w:color="auto"/>
                                    <w:left w:val="single" w:sz="4" w:space="0" w:color="auto"/>
                                  </w:tcBorders>
                                  <w:shd w:val="clear" w:color="auto" w:fill="auto"/>
                                  <w:vAlign w:val="center"/>
                                </w:tcPr>
                                <w:p w14:paraId="22AE76CD" w14:textId="77777777" w:rsidR="002F0761" w:rsidRPr="009301DF" w:rsidRDefault="002F0761" w:rsidP="002F0761">
                                  <w:pPr>
                                    <w:pStyle w:val="Inne0"/>
                                    <w:spacing w:after="0"/>
                                    <w:rPr>
                                      <w:sz w:val="22"/>
                                      <w:szCs w:val="22"/>
                                    </w:rPr>
                                  </w:pPr>
                                  <w:r w:rsidRPr="009301DF">
                                    <w:rPr>
                                      <w:sz w:val="22"/>
                                    </w:rPr>
                                    <w:t>Produkt</w:t>
                                  </w:r>
                                </w:p>
                              </w:tc>
                              <w:tc>
                                <w:tcPr>
                                  <w:tcW w:w="673" w:type="pct"/>
                                  <w:vMerge w:val="restart"/>
                                  <w:tcBorders>
                                    <w:top w:val="single" w:sz="4" w:space="0" w:color="auto"/>
                                    <w:left w:val="single" w:sz="4" w:space="0" w:color="auto"/>
                                  </w:tcBorders>
                                  <w:shd w:val="clear" w:color="auto" w:fill="auto"/>
                                </w:tcPr>
                                <w:p w14:paraId="1A106021" w14:textId="77777777" w:rsidR="002F0761" w:rsidRPr="009301DF" w:rsidRDefault="002F0761" w:rsidP="002F0761">
                                  <w:pPr>
                                    <w:pStyle w:val="Inne0"/>
                                    <w:spacing w:after="0"/>
                                    <w:rPr>
                                      <w:sz w:val="22"/>
                                      <w:szCs w:val="22"/>
                                    </w:rPr>
                                  </w:pPr>
                                  <w:r w:rsidRPr="009301DF">
                                    <w:rPr>
                                      <w:sz w:val="22"/>
                                    </w:rPr>
                                    <w:t>Zagrożenie:</w:t>
                                  </w:r>
                                </w:p>
                              </w:tc>
                              <w:tc>
                                <w:tcPr>
                                  <w:tcW w:w="472" w:type="pct"/>
                                  <w:vMerge w:val="restart"/>
                                  <w:tcBorders>
                                    <w:top w:val="single" w:sz="4" w:space="0" w:color="auto"/>
                                    <w:left w:val="single" w:sz="4" w:space="0" w:color="auto"/>
                                  </w:tcBorders>
                                  <w:shd w:val="clear" w:color="auto" w:fill="auto"/>
                                </w:tcPr>
                                <w:p w14:paraId="01449AAC" w14:textId="77777777" w:rsidR="002F0761" w:rsidRPr="009301DF" w:rsidRDefault="002F0761" w:rsidP="002F0761">
                                  <w:pPr>
                                    <w:pStyle w:val="Inne0"/>
                                    <w:spacing w:after="0"/>
                                    <w:rPr>
                                      <w:sz w:val="22"/>
                                      <w:szCs w:val="22"/>
                                    </w:rPr>
                                  </w:pPr>
                                  <w:r w:rsidRPr="009301DF">
                                    <w:rPr>
                                      <w:sz w:val="22"/>
                                    </w:rPr>
                                    <w:t>Proces</w:t>
                                  </w:r>
                                </w:p>
                              </w:tc>
                              <w:tc>
                                <w:tcPr>
                                  <w:tcW w:w="1381" w:type="pct"/>
                                  <w:vMerge w:val="restart"/>
                                  <w:tcBorders>
                                    <w:top w:val="single" w:sz="4" w:space="0" w:color="auto"/>
                                    <w:left w:val="single" w:sz="4" w:space="0" w:color="auto"/>
                                  </w:tcBorders>
                                  <w:shd w:val="clear" w:color="auto" w:fill="auto"/>
                                </w:tcPr>
                                <w:p w14:paraId="3FEE734E" w14:textId="77777777" w:rsidR="002F0761" w:rsidRPr="009301DF" w:rsidRDefault="002F0761" w:rsidP="002F0761">
                                  <w:pPr>
                                    <w:pStyle w:val="Inne0"/>
                                    <w:spacing w:after="0"/>
                                    <w:rPr>
                                      <w:sz w:val="22"/>
                                      <w:szCs w:val="22"/>
                                    </w:rPr>
                                  </w:pPr>
                                  <w:r w:rsidRPr="009301DF">
                                    <w:rPr>
                                      <w:sz w:val="22"/>
                                    </w:rPr>
                                    <w:t>Krytyczne parametry operacyjne</w:t>
                                  </w:r>
                                </w:p>
                              </w:tc>
                              <w:tc>
                                <w:tcPr>
                                  <w:tcW w:w="1960" w:type="pct"/>
                                  <w:gridSpan w:val="2"/>
                                  <w:tcBorders>
                                    <w:top w:val="single" w:sz="4" w:space="0" w:color="auto"/>
                                    <w:left w:val="single" w:sz="4" w:space="0" w:color="auto"/>
                                  </w:tcBorders>
                                  <w:shd w:val="clear" w:color="auto" w:fill="auto"/>
                                </w:tcPr>
                                <w:p w14:paraId="39CA415E" w14:textId="77777777" w:rsidR="002F0761" w:rsidRPr="009301DF" w:rsidRDefault="002F0761" w:rsidP="002F0761">
                                  <w:pPr>
                                    <w:pStyle w:val="Inne0"/>
                                    <w:spacing w:after="0"/>
                                    <w:rPr>
                                      <w:sz w:val="22"/>
                                      <w:szCs w:val="22"/>
                                    </w:rPr>
                                  </w:pPr>
                                  <w:r w:rsidRPr="009301DF">
                                    <w:rPr>
                                      <w:sz w:val="22"/>
                                    </w:rPr>
                                    <w:t>Potwierdzenie</w:t>
                                  </w:r>
                                </w:p>
                              </w:tc>
                              <w:tc>
                                <w:tcPr>
                                  <w:tcW w:w="68" w:type="pct"/>
                                  <w:vMerge w:val="restart"/>
                                  <w:tcBorders>
                                    <w:left w:val="single" w:sz="4" w:space="0" w:color="auto"/>
                                  </w:tcBorders>
                                  <w:shd w:val="clear" w:color="auto" w:fill="auto"/>
                                </w:tcPr>
                                <w:p w14:paraId="1F3A83C6" w14:textId="77777777" w:rsidR="002F0761" w:rsidRPr="009301DF" w:rsidRDefault="002F0761" w:rsidP="002F0761">
                                  <w:pPr>
                                    <w:rPr>
                                      <w:sz w:val="10"/>
                                      <w:szCs w:val="10"/>
                                    </w:rPr>
                                  </w:pPr>
                                </w:p>
                              </w:tc>
                            </w:tr>
                            <w:tr w:rsidR="002F0761" w:rsidRPr="009301DF" w14:paraId="186F25BD" w14:textId="77777777" w:rsidTr="002F0761">
                              <w:trPr>
                                <w:trHeight w:hRule="exact" w:val="728"/>
                              </w:trPr>
                              <w:tc>
                                <w:tcPr>
                                  <w:tcW w:w="445" w:type="pct"/>
                                  <w:vMerge/>
                                  <w:tcBorders>
                                    <w:left w:val="single" w:sz="4" w:space="0" w:color="auto"/>
                                  </w:tcBorders>
                                  <w:shd w:val="clear" w:color="auto" w:fill="auto"/>
                                  <w:vAlign w:val="center"/>
                                </w:tcPr>
                                <w:p w14:paraId="3AD227F8" w14:textId="77777777" w:rsidR="002F0761" w:rsidRPr="009301DF" w:rsidRDefault="002F0761" w:rsidP="002F0761"/>
                              </w:tc>
                              <w:tc>
                                <w:tcPr>
                                  <w:tcW w:w="673" w:type="pct"/>
                                  <w:vMerge/>
                                  <w:tcBorders>
                                    <w:left w:val="single" w:sz="4" w:space="0" w:color="auto"/>
                                  </w:tcBorders>
                                  <w:shd w:val="clear" w:color="auto" w:fill="auto"/>
                                </w:tcPr>
                                <w:p w14:paraId="2B541B9A" w14:textId="77777777" w:rsidR="002F0761" w:rsidRPr="009301DF" w:rsidRDefault="002F0761" w:rsidP="002F0761"/>
                              </w:tc>
                              <w:tc>
                                <w:tcPr>
                                  <w:tcW w:w="472" w:type="pct"/>
                                  <w:vMerge/>
                                  <w:tcBorders>
                                    <w:left w:val="single" w:sz="4" w:space="0" w:color="auto"/>
                                  </w:tcBorders>
                                  <w:shd w:val="clear" w:color="auto" w:fill="auto"/>
                                </w:tcPr>
                                <w:p w14:paraId="54B3B9DC" w14:textId="77777777" w:rsidR="002F0761" w:rsidRPr="009301DF" w:rsidRDefault="002F0761" w:rsidP="002F0761"/>
                              </w:tc>
                              <w:tc>
                                <w:tcPr>
                                  <w:tcW w:w="1381" w:type="pct"/>
                                  <w:vMerge/>
                                  <w:tcBorders>
                                    <w:left w:val="single" w:sz="4" w:space="0" w:color="auto"/>
                                  </w:tcBorders>
                                  <w:shd w:val="clear" w:color="auto" w:fill="auto"/>
                                </w:tcPr>
                                <w:p w14:paraId="0DEE21BD" w14:textId="77777777" w:rsidR="002F0761" w:rsidRPr="009301DF" w:rsidRDefault="002F0761" w:rsidP="002F0761"/>
                              </w:tc>
                              <w:tc>
                                <w:tcPr>
                                  <w:tcW w:w="943" w:type="pct"/>
                                  <w:tcBorders>
                                    <w:top w:val="single" w:sz="4" w:space="0" w:color="auto"/>
                                    <w:left w:val="single" w:sz="4" w:space="0" w:color="auto"/>
                                  </w:tcBorders>
                                  <w:shd w:val="clear" w:color="auto" w:fill="auto"/>
                                </w:tcPr>
                                <w:p w14:paraId="039109F5" w14:textId="77777777" w:rsidR="002F0761" w:rsidRPr="009301DF" w:rsidRDefault="002F0761" w:rsidP="002F0761">
                                  <w:pPr>
                                    <w:pStyle w:val="Inne0"/>
                                    <w:spacing w:after="0"/>
                                    <w:rPr>
                                      <w:sz w:val="22"/>
                                      <w:szCs w:val="22"/>
                                    </w:rPr>
                                  </w:pPr>
                                  <w:r w:rsidRPr="009301DF">
                                    <w:rPr>
                                      <w:sz w:val="22"/>
                                    </w:rPr>
                                    <w:t>Wsparcie naukowe lub techniczne</w:t>
                                  </w:r>
                                </w:p>
                              </w:tc>
                              <w:tc>
                                <w:tcPr>
                                  <w:tcW w:w="1018" w:type="pct"/>
                                  <w:tcBorders>
                                    <w:top w:val="single" w:sz="4" w:space="0" w:color="auto"/>
                                    <w:left w:val="single" w:sz="4" w:space="0" w:color="auto"/>
                                  </w:tcBorders>
                                  <w:shd w:val="clear" w:color="auto" w:fill="auto"/>
                                </w:tcPr>
                                <w:p w14:paraId="6E37BB9E" w14:textId="77777777" w:rsidR="002F0761" w:rsidRPr="009301DF" w:rsidRDefault="002F0761" w:rsidP="002F0761">
                                  <w:pPr>
                                    <w:pStyle w:val="Inne0"/>
                                    <w:spacing w:after="0"/>
                                    <w:rPr>
                                      <w:sz w:val="22"/>
                                      <w:szCs w:val="22"/>
                                    </w:rPr>
                                  </w:pPr>
                                  <w:r w:rsidRPr="009301DF">
                                    <w:rPr>
                                      <w:sz w:val="22"/>
                                    </w:rPr>
                                    <w:t>Wewnątrzzakładowe dane walidacyjne</w:t>
                                  </w:r>
                                </w:p>
                              </w:tc>
                              <w:tc>
                                <w:tcPr>
                                  <w:tcW w:w="68" w:type="pct"/>
                                  <w:vMerge/>
                                  <w:tcBorders>
                                    <w:left w:val="single" w:sz="4" w:space="0" w:color="auto"/>
                                  </w:tcBorders>
                                  <w:shd w:val="clear" w:color="auto" w:fill="auto"/>
                                </w:tcPr>
                                <w:p w14:paraId="6B257E67" w14:textId="77777777" w:rsidR="002F0761" w:rsidRPr="009301DF" w:rsidRDefault="002F0761" w:rsidP="002F0761"/>
                              </w:tc>
                            </w:tr>
                            <w:tr w:rsidR="002F0761" w:rsidRPr="009301DF" w14:paraId="30E4662D" w14:textId="77777777" w:rsidTr="002F0761">
                              <w:trPr>
                                <w:trHeight w:hRule="exact" w:val="8324"/>
                              </w:trPr>
                              <w:tc>
                                <w:tcPr>
                                  <w:tcW w:w="445" w:type="pct"/>
                                  <w:tcBorders>
                                    <w:top w:val="single" w:sz="4" w:space="0" w:color="auto"/>
                                    <w:left w:val="single" w:sz="4" w:space="0" w:color="auto"/>
                                  </w:tcBorders>
                                  <w:shd w:val="clear" w:color="auto" w:fill="auto"/>
                                </w:tcPr>
                                <w:p w14:paraId="7B0781EC" w14:textId="77777777" w:rsidR="002F0761" w:rsidRPr="009301DF" w:rsidRDefault="002F0761" w:rsidP="002F0761">
                                  <w:pPr>
                                    <w:pStyle w:val="Inne0"/>
                                    <w:spacing w:after="0"/>
                                    <w:rPr>
                                      <w:sz w:val="22"/>
                                      <w:szCs w:val="22"/>
                                    </w:rPr>
                                  </w:pPr>
                                  <w:r w:rsidRPr="009301DF">
                                    <w:rPr>
                                      <w:sz w:val="22"/>
                                    </w:rPr>
                                    <w:t>Beef Jerky</w:t>
                                  </w:r>
                                </w:p>
                              </w:tc>
                              <w:tc>
                                <w:tcPr>
                                  <w:tcW w:w="673" w:type="pct"/>
                                  <w:tcBorders>
                                    <w:top w:val="single" w:sz="4" w:space="0" w:color="auto"/>
                                    <w:left w:val="single" w:sz="4" w:space="0" w:color="auto"/>
                                  </w:tcBorders>
                                  <w:shd w:val="clear" w:color="auto" w:fill="auto"/>
                                </w:tcPr>
                                <w:p w14:paraId="6A1038C3" w14:textId="77777777" w:rsidR="002F0761" w:rsidRPr="009301DF" w:rsidRDefault="002F0761" w:rsidP="002F0761">
                                  <w:pPr>
                                    <w:pStyle w:val="Inne0"/>
                                    <w:spacing w:after="0"/>
                                    <w:rPr>
                                      <w:sz w:val="22"/>
                                      <w:szCs w:val="22"/>
                                    </w:rPr>
                                  </w:pPr>
                                  <w:r w:rsidRPr="009301DF">
                                    <w:rPr>
                                      <w:sz w:val="22"/>
                                    </w:rPr>
                                    <w:t xml:space="preserve">Biologiczne - </w:t>
                                  </w:r>
                                  <w:r w:rsidRPr="009301DF">
                                    <w:rPr>
                                      <w:i/>
                                      <w:sz w:val="22"/>
                                    </w:rPr>
                                    <w:t xml:space="preserve">E. coli </w:t>
                                  </w:r>
                                  <w:r w:rsidRPr="009301DF">
                                    <w:rPr>
                                      <w:sz w:val="22"/>
                                    </w:rPr>
                                    <w:t xml:space="preserve">O157:H7, </w:t>
                                  </w:r>
                                  <w:r w:rsidRPr="009301DF">
                                    <w:rPr>
                                      <w:i/>
                                      <w:sz w:val="22"/>
                                    </w:rPr>
                                    <w:t>Salmonella</w:t>
                                  </w:r>
                                  <w:r w:rsidRPr="009301DF">
                                    <w:rPr>
                                      <w:sz w:val="22"/>
                                    </w:rPr>
                                    <w:t xml:space="preserve">, </w:t>
                                  </w:r>
                                  <w:r w:rsidRPr="009301DF">
                                    <w:rPr>
                                      <w:i/>
                                      <w:sz w:val="22"/>
                                    </w:rPr>
                                    <w:t>Listeria monocytogenes</w:t>
                                  </w:r>
                                </w:p>
                              </w:tc>
                              <w:tc>
                                <w:tcPr>
                                  <w:tcW w:w="472" w:type="pct"/>
                                  <w:tcBorders>
                                    <w:top w:val="single" w:sz="4" w:space="0" w:color="auto"/>
                                    <w:left w:val="single" w:sz="4" w:space="0" w:color="auto"/>
                                  </w:tcBorders>
                                  <w:shd w:val="clear" w:color="auto" w:fill="auto"/>
                                </w:tcPr>
                                <w:p w14:paraId="0B5E7EC3" w14:textId="77777777" w:rsidR="002F0761" w:rsidRPr="009301DF" w:rsidRDefault="002F0761" w:rsidP="002F0761">
                                  <w:pPr>
                                    <w:pStyle w:val="Inne0"/>
                                    <w:spacing w:after="0"/>
                                    <w:rPr>
                                      <w:sz w:val="22"/>
                                      <w:szCs w:val="22"/>
                                    </w:rPr>
                                  </w:pPr>
                                  <w:r w:rsidRPr="009301DF">
                                    <w:rPr>
                                      <w:sz w:val="22"/>
                                    </w:rPr>
                                    <w:t>Gotowanie i suszenie</w:t>
                                  </w:r>
                                </w:p>
                              </w:tc>
                              <w:tc>
                                <w:tcPr>
                                  <w:tcW w:w="1381" w:type="pct"/>
                                  <w:tcBorders>
                                    <w:top w:val="single" w:sz="4" w:space="0" w:color="auto"/>
                                    <w:left w:val="single" w:sz="4" w:space="0" w:color="auto"/>
                                  </w:tcBorders>
                                  <w:shd w:val="clear" w:color="auto" w:fill="auto"/>
                                </w:tcPr>
                                <w:p w14:paraId="4331C439" w14:textId="77777777" w:rsidR="002F0761" w:rsidRPr="009301DF" w:rsidRDefault="002F0761" w:rsidP="002F0761">
                                  <w:pPr>
                                    <w:pStyle w:val="Inne0"/>
                                    <w:spacing w:after="0"/>
                                    <w:rPr>
                                      <w:sz w:val="22"/>
                                      <w:szCs w:val="22"/>
                                    </w:rPr>
                                  </w:pPr>
                                  <w:r w:rsidRPr="009301DF">
                                    <w:rPr>
                                      <w:sz w:val="22"/>
                                    </w:rPr>
                                    <w:t>(Dla procesu typu 1-A)</w:t>
                                  </w:r>
                                </w:p>
                                <w:p w14:paraId="6741A030" w14:textId="77777777" w:rsidR="002F0761" w:rsidRPr="009301DF" w:rsidRDefault="002F0761" w:rsidP="002F0761">
                                  <w:pPr>
                                    <w:pStyle w:val="Inne0"/>
                                    <w:spacing w:after="0" w:line="276" w:lineRule="auto"/>
                                    <w:ind w:firstLine="620"/>
                                    <w:rPr>
                                      <w:sz w:val="22"/>
                                      <w:szCs w:val="22"/>
                                    </w:rPr>
                                  </w:pPr>
                                  <w:r w:rsidRPr="009301DF">
                                    <w:rPr>
                                      <w:sz w:val="22"/>
                                    </w:rPr>
                                    <w:t>Etap 1* -</w:t>
                                  </w:r>
                                </w:p>
                                <w:p w14:paraId="5BAB3757" w14:textId="77777777" w:rsidR="002F0761" w:rsidRPr="009301DF" w:rsidRDefault="002F0761" w:rsidP="002F0761">
                                  <w:pPr>
                                    <w:pStyle w:val="Inne0"/>
                                    <w:spacing w:after="260" w:line="276" w:lineRule="auto"/>
                                    <w:ind w:left="620"/>
                                    <w:rPr>
                                      <w:sz w:val="22"/>
                                      <w:szCs w:val="22"/>
                                    </w:rPr>
                                  </w:pPr>
                                  <w:r w:rsidRPr="009301DF">
                                    <w:rPr>
                                      <w:sz w:val="22"/>
                                    </w:rPr>
                                    <w:t>170°F (piekarnik musi osiągnąć 145°F w ciągu 10 minut oraz 170°F w ciągu 25 minut.</w:t>
                                  </w:r>
                                </w:p>
                                <w:p w14:paraId="5276DFA4" w14:textId="77777777" w:rsidR="002F0761" w:rsidRPr="009301DF" w:rsidRDefault="002F0761" w:rsidP="002F0761">
                                  <w:pPr>
                                    <w:pStyle w:val="Inne0"/>
                                    <w:spacing w:after="0" w:line="276" w:lineRule="auto"/>
                                    <w:ind w:firstLine="620"/>
                                    <w:rPr>
                                      <w:sz w:val="22"/>
                                      <w:szCs w:val="22"/>
                                    </w:rPr>
                                  </w:pPr>
                                  <w:r w:rsidRPr="009301DF">
                                    <w:rPr>
                                      <w:sz w:val="22"/>
                                    </w:rPr>
                                    <w:t>Etap 2:</w:t>
                                  </w:r>
                                </w:p>
                                <w:p w14:paraId="356E8B05" w14:textId="77777777" w:rsidR="002F0761" w:rsidRPr="009301DF" w:rsidRDefault="002F0761" w:rsidP="002F0761">
                                  <w:pPr>
                                    <w:pStyle w:val="Inne0"/>
                                    <w:spacing w:after="0" w:line="276" w:lineRule="auto"/>
                                    <w:ind w:firstLine="620"/>
                                    <w:rPr>
                                      <w:sz w:val="22"/>
                                      <w:szCs w:val="22"/>
                                    </w:rPr>
                                  </w:pPr>
                                  <w:r w:rsidRPr="009301DF">
                                    <w:rPr>
                                      <w:sz w:val="22"/>
                                    </w:rPr>
                                    <w:t>Wybierz jedną z opcji:</w:t>
                                  </w:r>
                                </w:p>
                                <w:p w14:paraId="6CD7FCA1" w14:textId="77777777" w:rsidR="002F0761" w:rsidRPr="009301DF" w:rsidRDefault="002F0761" w:rsidP="002F0761">
                                  <w:pPr>
                                    <w:pStyle w:val="Inne0"/>
                                    <w:spacing w:after="0" w:line="276" w:lineRule="auto"/>
                                    <w:ind w:left="620"/>
                                    <w:rPr>
                                      <w:sz w:val="22"/>
                                      <w:szCs w:val="22"/>
                                    </w:rPr>
                                  </w:pPr>
                                  <w:r w:rsidRPr="009301DF">
                                    <w:rPr>
                                      <w:sz w:val="22"/>
                                    </w:rPr>
                                    <w:t>Termometr suchy o temperaturze 170°F i termometr mokry o temperaturze 125°F przez co najmniej 60 minut; LUB Termometr suchy o temperaturze 170°F i termometr mokry o temperaturze 130°F przez co najmniej 60 minut;</w:t>
                                  </w:r>
                                </w:p>
                                <w:p w14:paraId="3503A712" w14:textId="77777777" w:rsidR="002F0761" w:rsidRPr="009301DF" w:rsidRDefault="002F0761" w:rsidP="002F0761">
                                  <w:pPr>
                                    <w:pStyle w:val="Inne0"/>
                                    <w:spacing w:after="0" w:line="276" w:lineRule="auto"/>
                                    <w:ind w:left="620"/>
                                    <w:rPr>
                                      <w:sz w:val="22"/>
                                      <w:szCs w:val="22"/>
                                    </w:rPr>
                                  </w:pPr>
                                  <w:r w:rsidRPr="009301DF">
                                    <w:rPr>
                                      <w:sz w:val="22"/>
                                    </w:rPr>
                                    <w:t>LUB termometr suchy o temperaturze 170°F i termometr mokry o temperaturze 135°F przez co najmniej 30 minut;</w:t>
                                  </w:r>
                                </w:p>
                                <w:p w14:paraId="682D3DAC" w14:textId="77777777" w:rsidR="002F0761" w:rsidRPr="009301DF" w:rsidRDefault="002F0761" w:rsidP="002F0761">
                                  <w:pPr>
                                    <w:pStyle w:val="Inne0"/>
                                    <w:spacing w:after="260" w:line="276" w:lineRule="auto"/>
                                    <w:ind w:left="620"/>
                                    <w:rPr>
                                      <w:sz w:val="22"/>
                                      <w:szCs w:val="22"/>
                                    </w:rPr>
                                  </w:pPr>
                                  <w:r w:rsidRPr="009301DF">
                                    <w:rPr>
                                      <w:sz w:val="22"/>
                                    </w:rPr>
                                    <w:t>LUB termometr suchy o temperaturze 170°F i termometr mokry o temperaturze 140°F przez co najmniej 10 minut.</w:t>
                                  </w:r>
                                </w:p>
                                <w:p w14:paraId="2AA3CB0C" w14:textId="77777777" w:rsidR="002F0761" w:rsidRPr="009301DF" w:rsidRDefault="002F0761" w:rsidP="002F0761">
                                  <w:pPr>
                                    <w:pStyle w:val="Inne0"/>
                                    <w:spacing w:after="180" w:line="276" w:lineRule="auto"/>
                                    <w:ind w:left="620"/>
                                    <w:rPr>
                                      <w:sz w:val="22"/>
                                      <w:szCs w:val="22"/>
                                    </w:rPr>
                                  </w:pPr>
                                  <w:r w:rsidRPr="009301DF">
                                    <w:rPr>
                                      <w:sz w:val="22"/>
                                    </w:rPr>
                                    <w:t>Etap 3 - Suszenie w temperaturze 170°F termometru suchego do uzyskania odpowiedniej konsystencji</w:t>
                                  </w:r>
                                </w:p>
                                <w:p w14:paraId="68B163D9" w14:textId="77777777" w:rsidR="002F0761" w:rsidRPr="009301DF" w:rsidRDefault="002F0761" w:rsidP="002F0761">
                                  <w:pPr>
                                    <w:pStyle w:val="Inne0"/>
                                    <w:spacing w:after="260"/>
                                    <w:rPr>
                                      <w:sz w:val="22"/>
                                      <w:szCs w:val="22"/>
                                    </w:rPr>
                                  </w:pPr>
                                  <w:r w:rsidRPr="009301DF">
                                    <w:rPr>
                                      <w:sz w:val="22"/>
                                    </w:rPr>
                                    <w:t>Wilgotność względna podczas skoku temperatury termometru mokrego na etapie 2, aktywność wody w produkcie pod koniec skoku temperatury termometru mokrego i całkowity czas suszenia.</w:t>
                                  </w:r>
                                </w:p>
                              </w:tc>
                              <w:tc>
                                <w:tcPr>
                                  <w:tcW w:w="943" w:type="pct"/>
                                  <w:tcBorders>
                                    <w:top w:val="single" w:sz="4" w:space="0" w:color="auto"/>
                                    <w:left w:val="single" w:sz="4" w:space="0" w:color="auto"/>
                                  </w:tcBorders>
                                  <w:shd w:val="clear" w:color="auto" w:fill="auto"/>
                                </w:tcPr>
                                <w:p w14:paraId="78506986" w14:textId="77777777" w:rsidR="002F0761" w:rsidRPr="009301DF" w:rsidRDefault="002F0761" w:rsidP="002F0761">
                                  <w:pPr>
                                    <w:pStyle w:val="Inne0"/>
                                    <w:spacing w:after="0"/>
                                    <w:rPr>
                                      <w:sz w:val="22"/>
                                      <w:szCs w:val="22"/>
                                    </w:rPr>
                                  </w:pPr>
                                  <w:r w:rsidRPr="009301DF">
                                    <w:rPr>
                                      <w:sz w:val="22"/>
                                    </w:rPr>
                                    <w:t>Podsumowanie limitów krytycznych dla stabilności przechowywania suszonej wołowiny i produktów pokrewnych:</w:t>
                                  </w:r>
                                </w:p>
                                <w:p w14:paraId="3FED36E3" w14:textId="77777777" w:rsidR="002F0761" w:rsidRPr="00540146" w:rsidRDefault="002F0761" w:rsidP="002F0761">
                                  <w:pPr>
                                    <w:pStyle w:val="Inne0"/>
                                    <w:rPr>
                                      <w:sz w:val="22"/>
                                      <w:szCs w:val="22"/>
                                      <w:lang w:val="en-US"/>
                                    </w:rPr>
                                  </w:pPr>
                                  <w:hyperlink r:id="rId84" w:history="1">
                                    <w:r w:rsidRPr="00540146">
                                      <w:rPr>
                                        <w:sz w:val="22"/>
                                        <w:lang w:val="en-US"/>
                                      </w:rPr>
                                      <w:t>http://www.meathaccp</w:t>
                                    </w:r>
                                  </w:hyperlink>
                                  <w:r w:rsidRPr="00540146">
                                    <w:rPr>
                                      <w:sz w:val="22"/>
                                      <w:lang w:val="en-US"/>
                                    </w:rPr>
                                    <w:t>. wisc.edu/validation/ass ets/CLSummary_WMJ erkyJune2013.pdf.</w:t>
                                  </w:r>
                                </w:p>
                                <w:p w14:paraId="0A5F6A06" w14:textId="77777777" w:rsidR="002F0761" w:rsidRPr="00540146" w:rsidRDefault="002F0761" w:rsidP="002F0761">
                                  <w:pPr>
                                    <w:pStyle w:val="Inne0"/>
                                    <w:spacing w:after="0"/>
                                    <w:rPr>
                                      <w:sz w:val="22"/>
                                      <w:szCs w:val="22"/>
                                      <w:lang w:val="en-US"/>
                                    </w:rPr>
                                  </w:pPr>
                                  <w:r w:rsidRPr="00540146">
                                    <w:rPr>
                                      <w:sz w:val="22"/>
                                      <w:lang w:val="en-US"/>
                                    </w:rPr>
                                    <w:t>Buege, D.R., Searls, G. i Ingham, S.C.</w:t>
                                  </w:r>
                                </w:p>
                                <w:p w14:paraId="09732D91" w14:textId="77777777" w:rsidR="002F0761" w:rsidRPr="009301DF" w:rsidRDefault="002F0761" w:rsidP="002F0761">
                                  <w:pPr>
                                    <w:pStyle w:val="Inne0"/>
                                    <w:spacing w:after="0"/>
                                    <w:rPr>
                                      <w:sz w:val="22"/>
                                      <w:szCs w:val="22"/>
                                    </w:rPr>
                                  </w:pPr>
                                  <w:r w:rsidRPr="00540146">
                                    <w:rPr>
                                      <w:sz w:val="22"/>
                                      <w:lang w:val="en-US"/>
                                    </w:rPr>
                                    <w:t xml:space="preserve">2006. Śmiertelność w komercyjnych procesach produkcji suszonego mięsa wołowego przeciwko serotypom </w:t>
                                  </w:r>
                                  <w:r w:rsidRPr="00540146">
                                    <w:rPr>
                                      <w:i/>
                                      <w:sz w:val="22"/>
                                      <w:lang w:val="en-US"/>
                                    </w:rPr>
                                    <w:t>Salmonella</w:t>
                                  </w:r>
                                  <w:r w:rsidRPr="00540146">
                                    <w:rPr>
                                      <w:sz w:val="22"/>
                                      <w:lang w:val="en-US"/>
                                    </w:rPr>
                                    <w:t xml:space="preserve"> i </w:t>
                                  </w:r>
                                  <w:r w:rsidRPr="00540146">
                                    <w:rPr>
                                      <w:i/>
                                      <w:sz w:val="22"/>
                                      <w:lang w:val="en-US"/>
                                    </w:rPr>
                                    <w:t xml:space="preserve">Escherichia coli </w:t>
                                  </w:r>
                                  <w:r w:rsidRPr="00540146">
                                    <w:rPr>
                                      <w:sz w:val="22"/>
                                      <w:lang w:val="en-US"/>
                                    </w:rPr>
                                    <w:t>O157:H7 (</w:t>
                                  </w:r>
                                  <w:r w:rsidRPr="00540146">
                                    <w:rPr>
                                      <w:i/>
                                      <w:iCs/>
                                      <w:sz w:val="22"/>
                                      <w:lang w:val="en-US"/>
                                    </w:rPr>
                                    <w:t>Lethality of commercial wholemuscle beef jerky manufacturing processes against Salmonella Serovars and Escherichia coli O157:H7</w:t>
                                  </w:r>
                                  <w:r w:rsidRPr="00540146">
                                    <w:rPr>
                                      <w:sz w:val="22"/>
                                      <w:lang w:val="en-US"/>
                                    </w:rPr>
                                    <w:t xml:space="preserve">). </w:t>
                                  </w:r>
                                  <w:r w:rsidRPr="009301DF">
                                    <w:rPr>
                                      <w:i/>
                                      <w:sz w:val="22"/>
                                    </w:rPr>
                                    <w:t>J. Food Prot</w:t>
                                  </w:r>
                                  <w:r w:rsidRPr="009301DF">
                                    <w:rPr>
                                      <w:sz w:val="22"/>
                                    </w:rPr>
                                    <w:t>: 69(9): 2091-2099.</w:t>
                                  </w:r>
                                </w:p>
                              </w:tc>
                              <w:tc>
                                <w:tcPr>
                                  <w:tcW w:w="1018" w:type="pct"/>
                                  <w:tcBorders>
                                    <w:top w:val="single" w:sz="4" w:space="0" w:color="auto"/>
                                    <w:left w:val="single" w:sz="4" w:space="0" w:color="auto"/>
                                  </w:tcBorders>
                                  <w:shd w:val="clear" w:color="auto" w:fill="auto"/>
                                </w:tcPr>
                                <w:p w14:paraId="22A7CECC" w14:textId="77777777" w:rsidR="002F0761" w:rsidRPr="009301DF" w:rsidRDefault="002F0761" w:rsidP="002F0761">
                                  <w:pPr>
                                    <w:pStyle w:val="Inne0"/>
                                    <w:spacing w:after="220"/>
                                    <w:rPr>
                                      <w:sz w:val="22"/>
                                      <w:szCs w:val="22"/>
                                    </w:rPr>
                                  </w:pPr>
                                  <w:r w:rsidRPr="009301DF">
                                    <w:rPr>
                                      <w:sz w:val="22"/>
                                    </w:rPr>
                                    <w:t>Zapisy z monitoringu w zakładzie za okres 90 dni przedstawiające dane dotyczące czasu oraz temperatury termometru suchego i mokrego.</w:t>
                                  </w:r>
                                </w:p>
                                <w:p w14:paraId="1AB527A7" w14:textId="77777777" w:rsidR="002F0761" w:rsidRPr="009301DF" w:rsidRDefault="002F0761" w:rsidP="002F0761">
                                  <w:pPr>
                                    <w:pStyle w:val="Inne0"/>
                                    <w:spacing w:after="220"/>
                                    <w:rPr>
                                      <w:sz w:val="22"/>
                                      <w:szCs w:val="22"/>
                                    </w:rPr>
                                  </w:pPr>
                                  <w:r w:rsidRPr="009301DF">
                                    <w:rPr>
                                      <w:sz w:val="22"/>
                                    </w:rPr>
                                    <w:t>Użycie termometrów suchego i mokrego do obliczenia wilgotności względnej lub użycie czujnika wilgotności do pomiaru wilgotności względnej podczas skoku temperatury mokrego termometru i porównanie wyników testu z wynikami wilgotności względnej w tabeli 2 artykułu.</w:t>
                                  </w:r>
                                </w:p>
                                <w:p w14:paraId="32BEE658" w14:textId="77777777" w:rsidR="002F0761" w:rsidRPr="009301DF" w:rsidRDefault="002F0761" w:rsidP="002F0761">
                                  <w:pPr>
                                    <w:pStyle w:val="Inne0"/>
                                    <w:spacing w:after="220"/>
                                    <w:rPr>
                                      <w:sz w:val="22"/>
                                      <w:szCs w:val="22"/>
                                    </w:rPr>
                                  </w:pPr>
                                  <w:r w:rsidRPr="009301DF">
                                    <w:rPr>
                                      <w:sz w:val="22"/>
                                    </w:rPr>
                                    <w:t>Testowanie suszonego mięsa wołowego pod kątem aktywności wody pod koniec skoku temperatury termometru mokrego i porównanie wyników testu z wynikami aktywności wody w tabeli 2 artykułu.</w:t>
                                  </w:r>
                                </w:p>
                              </w:tc>
                              <w:tc>
                                <w:tcPr>
                                  <w:tcW w:w="68" w:type="pct"/>
                                  <w:vMerge/>
                                  <w:tcBorders>
                                    <w:left w:val="single" w:sz="4" w:space="0" w:color="auto"/>
                                  </w:tcBorders>
                                  <w:shd w:val="clear" w:color="auto" w:fill="auto"/>
                                </w:tcPr>
                                <w:p w14:paraId="60978C0B" w14:textId="77777777" w:rsidR="002F0761" w:rsidRPr="009301DF" w:rsidRDefault="002F0761" w:rsidP="002F0761"/>
                              </w:tc>
                            </w:tr>
                            <w:tr w:rsidR="002F0761" w:rsidRPr="009301DF" w14:paraId="758CBACE" w14:textId="77777777" w:rsidTr="002F0761">
                              <w:trPr>
                                <w:trHeight w:hRule="exact" w:val="856"/>
                              </w:trPr>
                              <w:tc>
                                <w:tcPr>
                                  <w:tcW w:w="5000" w:type="pct"/>
                                  <w:gridSpan w:val="7"/>
                                  <w:tcBorders>
                                    <w:top w:val="single" w:sz="4" w:space="0" w:color="auto"/>
                                  </w:tcBorders>
                                  <w:shd w:val="clear" w:color="auto" w:fill="auto"/>
                                  <w:vAlign w:val="bottom"/>
                                </w:tcPr>
                                <w:p w14:paraId="4530A091" w14:textId="77777777" w:rsidR="002F0761" w:rsidRPr="009301DF" w:rsidRDefault="002F0761" w:rsidP="002F0761">
                                  <w:pPr>
                                    <w:pStyle w:val="Inne0"/>
                                    <w:spacing w:after="0"/>
                                    <w:ind w:left="-12"/>
                                    <w:rPr>
                                      <w:sz w:val="20"/>
                                      <w:szCs w:val="20"/>
                                    </w:rPr>
                                  </w:pPr>
                                  <w:r w:rsidRPr="009301DF">
                                    <w:rPr>
                                      <w:sz w:val="22"/>
                                    </w:rPr>
                                    <w:t>*</w:t>
                                  </w:r>
                                  <w:r w:rsidRPr="009301DF">
                                    <w:rPr>
                                      <w:sz w:val="20"/>
                                    </w:rPr>
                                    <w:t>Ten przykład dotyczy procesu typu 1-A. Należy pamiętać, że typ 1-A może być przetwarzany z wyższą temperaturą termometru suchego w etapie 1, wyższą temperaturą termometru mokrego lub dłuższym czasem w etapie 2, lub wyższą temperaturą termometru suchego w etapie 3, o ile piec osiągnie minimalną temperaturę określoną w etapie 1.</w:t>
                                  </w:r>
                                </w:p>
                              </w:tc>
                            </w:tr>
                          </w:tbl>
                          <w:p w14:paraId="415A5A7E" w14:textId="77777777" w:rsidR="002F0761" w:rsidRDefault="002F0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9D3B39" id="Pole tekstowe 3" o:spid="_x0000_s1028" type="#_x0000_t202" style="position:absolute;margin-left:37.85pt;margin-top:11.95pt;width:612.85pt;height:559.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My+MgIAAFwEAAAOAAAAZHJzL2Uyb0RvYy54bWysVEtv2zAMvg/YfxB0X+w8mnRGnCJLkWFA&#10;0BZIh54VWUoEyKImKbGzXz9KzmvdTsMuMilSfHwf6e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" fillcolor="white [3201]" stroked="f" strokeweight=".5pt">
                <v:textbox>
                  <w:txbxContent>
                    <w:tbl>
                      <w:tblPr>
                        <w:tblOverlap w:val="never"/>
                        <w:tblW w:w="5000" w:type="pct"/>
                        <w:tblCellMar>
                          <w:left w:w="10" w:type="dxa"/>
                          <w:right w:w="10" w:type="dxa"/>
                        </w:tblCellMar>
                        <w:tblLook w:val="04A0" w:firstRow="1" w:lastRow="0" w:firstColumn="1" w:lastColumn="0" w:noHBand="0" w:noVBand="1"/>
                      </w:tblPr>
                      <w:tblGrid>
                        <w:gridCol w:w="1063"/>
                        <w:gridCol w:w="1610"/>
                        <w:gridCol w:w="1128"/>
                        <w:gridCol w:w="3305"/>
                        <w:gridCol w:w="2271"/>
                        <w:gridCol w:w="2436"/>
                        <w:gridCol w:w="161"/>
                      </w:tblGrid>
                      <w:tr w:rsidR="002F0761" w:rsidRPr="009301DF" w14:paraId="55D9E18B" w14:textId="77777777" w:rsidTr="002F0761">
                        <w:trPr>
                          <w:trHeight w:hRule="exact" w:val="402"/>
                        </w:trPr>
                        <w:tc>
                          <w:tcPr>
                            <w:tcW w:w="4932" w:type="pct"/>
                            <w:gridSpan w:val="6"/>
                            <w:shd w:val="clear" w:color="auto" w:fill="auto"/>
                          </w:tcPr>
                          <w:p w14:paraId="4AB6DB13" w14:textId="77777777" w:rsidR="002F0761" w:rsidRPr="009301DF" w:rsidRDefault="002F0761" w:rsidP="002F0761">
                            <w:pPr>
                              <w:pStyle w:val="Inne0"/>
                              <w:spacing w:after="0"/>
                            </w:pPr>
                            <w:r w:rsidRPr="009301DF">
                              <w:t>Wyłącznie do celów ilustracyjnych</w:t>
                            </w:r>
                          </w:p>
                        </w:tc>
                        <w:tc>
                          <w:tcPr>
                            <w:tcW w:w="68" w:type="pct"/>
                            <w:shd w:val="clear" w:color="auto" w:fill="auto"/>
                          </w:tcPr>
                          <w:p w14:paraId="63FF57D8" w14:textId="77777777" w:rsidR="002F0761" w:rsidRPr="009301DF" w:rsidRDefault="002F0761" w:rsidP="002F0761">
                            <w:pPr>
                              <w:rPr>
                                <w:sz w:val="10"/>
                                <w:szCs w:val="10"/>
                              </w:rPr>
                            </w:pPr>
                          </w:p>
                        </w:tc>
                      </w:tr>
                      <w:tr w:rsidR="002F0761" w:rsidRPr="009301DF" w14:paraId="22DE077E" w14:textId="77777777" w:rsidTr="002F0761">
                        <w:trPr>
                          <w:trHeight w:hRule="exact" w:val="285"/>
                        </w:trPr>
                        <w:tc>
                          <w:tcPr>
                            <w:tcW w:w="445" w:type="pct"/>
                            <w:vMerge w:val="restart"/>
                            <w:tcBorders>
                              <w:top w:val="single" w:sz="4" w:space="0" w:color="auto"/>
                              <w:left w:val="single" w:sz="4" w:space="0" w:color="auto"/>
                            </w:tcBorders>
                            <w:shd w:val="clear" w:color="auto" w:fill="auto"/>
                            <w:vAlign w:val="center"/>
                          </w:tcPr>
                          <w:p w14:paraId="22AE76CD" w14:textId="77777777" w:rsidR="002F0761" w:rsidRPr="009301DF" w:rsidRDefault="002F0761" w:rsidP="002F0761">
                            <w:pPr>
                              <w:pStyle w:val="Inne0"/>
                              <w:spacing w:after="0"/>
                              <w:rPr>
                                <w:sz w:val="22"/>
                                <w:szCs w:val="22"/>
                              </w:rPr>
                            </w:pPr>
                            <w:r w:rsidRPr="009301DF">
                              <w:rPr>
                                <w:sz w:val="22"/>
                              </w:rPr>
                              <w:t>Produkt</w:t>
                            </w:r>
                          </w:p>
                        </w:tc>
                        <w:tc>
                          <w:tcPr>
                            <w:tcW w:w="673" w:type="pct"/>
                            <w:vMerge w:val="restart"/>
                            <w:tcBorders>
                              <w:top w:val="single" w:sz="4" w:space="0" w:color="auto"/>
                              <w:left w:val="single" w:sz="4" w:space="0" w:color="auto"/>
                            </w:tcBorders>
                            <w:shd w:val="clear" w:color="auto" w:fill="auto"/>
                          </w:tcPr>
                          <w:p w14:paraId="1A106021" w14:textId="77777777" w:rsidR="002F0761" w:rsidRPr="009301DF" w:rsidRDefault="002F0761" w:rsidP="002F0761">
                            <w:pPr>
                              <w:pStyle w:val="Inne0"/>
                              <w:spacing w:after="0"/>
                              <w:rPr>
                                <w:sz w:val="22"/>
                                <w:szCs w:val="22"/>
                              </w:rPr>
                            </w:pPr>
                            <w:r w:rsidRPr="009301DF">
                              <w:rPr>
                                <w:sz w:val="22"/>
                              </w:rPr>
                              <w:t>Zagrożenie:</w:t>
                            </w:r>
                          </w:p>
                        </w:tc>
                        <w:tc>
                          <w:tcPr>
                            <w:tcW w:w="472" w:type="pct"/>
                            <w:vMerge w:val="restart"/>
                            <w:tcBorders>
                              <w:top w:val="single" w:sz="4" w:space="0" w:color="auto"/>
                              <w:left w:val="single" w:sz="4" w:space="0" w:color="auto"/>
                            </w:tcBorders>
                            <w:shd w:val="clear" w:color="auto" w:fill="auto"/>
                          </w:tcPr>
                          <w:p w14:paraId="01449AAC" w14:textId="77777777" w:rsidR="002F0761" w:rsidRPr="009301DF" w:rsidRDefault="002F0761" w:rsidP="002F0761">
                            <w:pPr>
                              <w:pStyle w:val="Inne0"/>
                              <w:spacing w:after="0"/>
                              <w:rPr>
                                <w:sz w:val="22"/>
                                <w:szCs w:val="22"/>
                              </w:rPr>
                            </w:pPr>
                            <w:r w:rsidRPr="009301DF">
                              <w:rPr>
                                <w:sz w:val="22"/>
                              </w:rPr>
                              <w:t>Proces</w:t>
                            </w:r>
                          </w:p>
                        </w:tc>
                        <w:tc>
                          <w:tcPr>
                            <w:tcW w:w="1381" w:type="pct"/>
                            <w:vMerge w:val="restart"/>
                            <w:tcBorders>
                              <w:top w:val="single" w:sz="4" w:space="0" w:color="auto"/>
                              <w:left w:val="single" w:sz="4" w:space="0" w:color="auto"/>
                            </w:tcBorders>
                            <w:shd w:val="clear" w:color="auto" w:fill="auto"/>
                          </w:tcPr>
                          <w:p w14:paraId="3FEE734E" w14:textId="77777777" w:rsidR="002F0761" w:rsidRPr="009301DF" w:rsidRDefault="002F0761" w:rsidP="002F0761">
                            <w:pPr>
                              <w:pStyle w:val="Inne0"/>
                              <w:spacing w:after="0"/>
                              <w:rPr>
                                <w:sz w:val="22"/>
                                <w:szCs w:val="22"/>
                              </w:rPr>
                            </w:pPr>
                            <w:r w:rsidRPr="009301DF">
                              <w:rPr>
                                <w:sz w:val="22"/>
                              </w:rPr>
                              <w:t>Krytyczne parametry operacyjne</w:t>
                            </w:r>
                          </w:p>
                        </w:tc>
                        <w:tc>
                          <w:tcPr>
                            <w:tcW w:w="1960" w:type="pct"/>
                            <w:gridSpan w:val="2"/>
                            <w:tcBorders>
                              <w:top w:val="single" w:sz="4" w:space="0" w:color="auto"/>
                              <w:left w:val="single" w:sz="4" w:space="0" w:color="auto"/>
                            </w:tcBorders>
                            <w:shd w:val="clear" w:color="auto" w:fill="auto"/>
                          </w:tcPr>
                          <w:p w14:paraId="39CA415E" w14:textId="77777777" w:rsidR="002F0761" w:rsidRPr="009301DF" w:rsidRDefault="002F0761" w:rsidP="002F0761">
                            <w:pPr>
                              <w:pStyle w:val="Inne0"/>
                              <w:spacing w:after="0"/>
                              <w:rPr>
                                <w:sz w:val="22"/>
                                <w:szCs w:val="22"/>
                              </w:rPr>
                            </w:pPr>
                            <w:r w:rsidRPr="009301DF">
                              <w:rPr>
                                <w:sz w:val="22"/>
                              </w:rPr>
                              <w:t>Potwierdzenie</w:t>
                            </w:r>
                          </w:p>
                        </w:tc>
                        <w:tc>
                          <w:tcPr>
                            <w:tcW w:w="68" w:type="pct"/>
                            <w:vMerge w:val="restart"/>
                            <w:tcBorders>
                              <w:left w:val="single" w:sz="4" w:space="0" w:color="auto"/>
                            </w:tcBorders>
                            <w:shd w:val="clear" w:color="auto" w:fill="auto"/>
                          </w:tcPr>
                          <w:p w14:paraId="1F3A83C6" w14:textId="77777777" w:rsidR="002F0761" w:rsidRPr="009301DF" w:rsidRDefault="002F0761" w:rsidP="002F0761">
                            <w:pPr>
                              <w:rPr>
                                <w:sz w:val="10"/>
                                <w:szCs w:val="10"/>
                              </w:rPr>
                            </w:pPr>
                          </w:p>
                        </w:tc>
                      </w:tr>
                      <w:tr w:rsidR="002F0761" w:rsidRPr="009301DF" w14:paraId="186F25BD" w14:textId="77777777" w:rsidTr="002F0761">
                        <w:trPr>
                          <w:trHeight w:hRule="exact" w:val="728"/>
                        </w:trPr>
                        <w:tc>
                          <w:tcPr>
                            <w:tcW w:w="445" w:type="pct"/>
                            <w:vMerge/>
                            <w:tcBorders>
                              <w:left w:val="single" w:sz="4" w:space="0" w:color="auto"/>
                            </w:tcBorders>
                            <w:shd w:val="clear" w:color="auto" w:fill="auto"/>
                            <w:vAlign w:val="center"/>
                          </w:tcPr>
                          <w:p w14:paraId="3AD227F8" w14:textId="77777777" w:rsidR="002F0761" w:rsidRPr="009301DF" w:rsidRDefault="002F0761" w:rsidP="002F0761"/>
                        </w:tc>
                        <w:tc>
                          <w:tcPr>
                            <w:tcW w:w="673" w:type="pct"/>
                            <w:vMerge/>
                            <w:tcBorders>
                              <w:left w:val="single" w:sz="4" w:space="0" w:color="auto"/>
                            </w:tcBorders>
                            <w:shd w:val="clear" w:color="auto" w:fill="auto"/>
                          </w:tcPr>
                          <w:p w14:paraId="2B541B9A" w14:textId="77777777" w:rsidR="002F0761" w:rsidRPr="009301DF" w:rsidRDefault="002F0761" w:rsidP="002F0761"/>
                        </w:tc>
                        <w:tc>
                          <w:tcPr>
                            <w:tcW w:w="472" w:type="pct"/>
                            <w:vMerge/>
                            <w:tcBorders>
                              <w:left w:val="single" w:sz="4" w:space="0" w:color="auto"/>
                            </w:tcBorders>
                            <w:shd w:val="clear" w:color="auto" w:fill="auto"/>
                          </w:tcPr>
                          <w:p w14:paraId="54B3B9DC" w14:textId="77777777" w:rsidR="002F0761" w:rsidRPr="009301DF" w:rsidRDefault="002F0761" w:rsidP="002F0761"/>
                        </w:tc>
                        <w:tc>
                          <w:tcPr>
                            <w:tcW w:w="1381" w:type="pct"/>
                            <w:vMerge/>
                            <w:tcBorders>
                              <w:left w:val="single" w:sz="4" w:space="0" w:color="auto"/>
                            </w:tcBorders>
                            <w:shd w:val="clear" w:color="auto" w:fill="auto"/>
                          </w:tcPr>
                          <w:p w14:paraId="0DEE21BD" w14:textId="77777777" w:rsidR="002F0761" w:rsidRPr="009301DF" w:rsidRDefault="002F0761" w:rsidP="002F0761"/>
                        </w:tc>
                        <w:tc>
                          <w:tcPr>
                            <w:tcW w:w="943" w:type="pct"/>
                            <w:tcBorders>
                              <w:top w:val="single" w:sz="4" w:space="0" w:color="auto"/>
                              <w:left w:val="single" w:sz="4" w:space="0" w:color="auto"/>
                            </w:tcBorders>
                            <w:shd w:val="clear" w:color="auto" w:fill="auto"/>
                          </w:tcPr>
                          <w:p w14:paraId="039109F5" w14:textId="77777777" w:rsidR="002F0761" w:rsidRPr="009301DF" w:rsidRDefault="002F0761" w:rsidP="002F0761">
                            <w:pPr>
                              <w:pStyle w:val="Inne0"/>
                              <w:spacing w:after="0"/>
                              <w:rPr>
                                <w:sz w:val="22"/>
                                <w:szCs w:val="22"/>
                              </w:rPr>
                            </w:pPr>
                            <w:r w:rsidRPr="009301DF">
                              <w:rPr>
                                <w:sz w:val="22"/>
                              </w:rPr>
                              <w:t>Wsparcie naukowe lub techniczne</w:t>
                            </w:r>
                          </w:p>
                        </w:tc>
                        <w:tc>
                          <w:tcPr>
                            <w:tcW w:w="1018" w:type="pct"/>
                            <w:tcBorders>
                              <w:top w:val="single" w:sz="4" w:space="0" w:color="auto"/>
                              <w:left w:val="single" w:sz="4" w:space="0" w:color="auto"/>
                            </w:tcBorders>
                            <w:shd w:val="clear" w:color="auto" w:fill="auto"/>
                          </w:tcPr>
                          <w:p w14:paraId="6E37BB9E" w14:textId="77777777" w:rsidR="002F0761" w:rsidRPr="009301DF" w:rsidRDefault="002F0761" w:rsidP="002F0761">
                            <w:pPr>
                              <w:pStyle w:val="Inne0"/>
                              <w:spacing w:after="0"/>
                              <w:rPr>
                                <w:sz w:val="22"/>
                                <w:szCs w:val="22"/>
                              </w:rPr>
                            </w:pPr>
                            <w:r w:rsidRPr="009301DF">
                              <w:rPr>
                                <w:sz w:val="22"/>
                              </w:rPr>
                              <w:t>Wewnątrzzakładowe dane walidacyjne</w:t>
                            </w:r>
                          </w:p>
                        </w:tc>
                        <w:tc>
                          <w:tcPr>
                            <w:tcW w:w="68" w:type="pct"/>
                            <w:vMerge/>
                            <w:tcBorders>
                              <w:left w:val="single" w:sz="4" w:space="0" w:color="auto"/>
                            </w:tcBorders>
                            <w:shd w:val="clear" w:color="auto" w:fill="auto"/>
                          </w:tcPr>
                          <w:p w14:paraId="6B257E67" w14:textId="77777777" w:rsidR="002F0761" w:rsidRPr="009301DF" w:rsidRDefault="002F0761" w:rsidP="002F0761"/>
                        </w:tc>
                      </w:tr>
                      <w:tr w:rsidR="002F0761" w:rsidRPr="009301DF" w14:paraId="30E4662D" w14:textId="77777777" w:rsidTr="002F0761">
                        <w:trPr>
                          <w:trHeight w:hRule="exact" w:val="8324"/>
                        </w:trPr>
                        <w:tc>
                          <w:tcPr>
                            <w:tcW w:w="445" w:type="pct"/>
                            <w:tcBorders>
                              <w:top w:val="single" w:sz="4" w:space="0" w:color="auto"/>
                              <w:left w:val="single" w:sz="4" w:space="0" w:color="auto"/>
                            </w:tcBorders>
                            <w:shd w:val="clear" w:color="auto" w:fill="auto"/>
                          </w:tcPr>
                          <w:p w14:paraId="7B0781EC" w14:textId="77777777" w:rsidR="002F0761" w:rsidRPr="009301DF" w:rsidRDefault="002F0761" w:rsidP="002F0761">
                            <w:pPr>
                              <w:pStyle w:val="Inne0"/>
                              <w:spacing w:after="0"/>
                              <w:rPr>
                                <w:sz w:val="22"/>
                                <w:szCs w:val="22"/>
                              </w:rPr>
                            </w:pPr>
                            <w:r w:rsidRPr="009301DF">
                              <w:rPr>
                                <w:sz w:val="22"/>
                              </w:rPr>
                              <w:t>Beef Jerky</w:t>
                            </w:r>
                          </w:p>
                        </w:tc>
                        <w:tc>
                          <w:tcPr>
                            <w:tcW w:w="673" w:type="pct"/>
                            <w:tcBorders>
                              <w:top w:val="single" w:sz="4" w:space="0" w:color="auto"/>
                              <w:left w:val="single" w:sz="4" w:space="0" w:color="auto"/>
                            </w:tcBorders>
                            <w:shd w:val="clear" w:color="auto" w:fill="auto"/>
                          </w:tcPr>
                          <w:p w14:paraId="6A1038C3" w14:textId="77777777" w:rsidR="002F0761" w:rsidRPr="009301DF" w:rsidRDefault="002F0761" w:rsidP="002F0761">
                            <w:pPr>
                              <w:pStyle w:val="Inne0"/>
                              <w:spacing w:after="0"/>
                              <w:rPr>
                                <w:sz w:val="22"/>
                                <w:szCs w:val="22"/>
                              </w:rPr>
                            </w:pPr>
                            <w:r w:rsidRPr="009301DF">
                              <w:rPr>
                                <w:sz w:val="22"/>
                              </w:rPr>
                              <w:t xml:space="preserve">Biologiczne - </w:t>
                            </w:r>
                            <w:r w:rsidRPr="009301DF">
                              <w:rPr>
                                <w:i/>
                                <w:sz w:val="22"/>
                              </w:rPr>
                              <w:t xml:space="preserve">E. coli </w:t>
                            </w:r>
                            <w:r w:rsidRPr="009301DF">
                              <w:rPr>
                                <w:sz w:val="22"/>
                              </w:rPr>
                              <w:t xml:space="preserve">O157:H7, </w:t>
                            </w:r>
                            <w:r w:rsidRPr="009301DF">
                              <w:rPr>
                                <w:i/>
                                <w:sz w:val="22"/>
                              </w:rPr>
                              <w:t>Salmonella</w:t>
                            </w:r>
                            <w:r w:rsidRPr="009301DF">
                              <w:rPr>
                                <w:sz w:val="22"/>
                              </w:rPr>
                              <w:t xml:space="preserve">, </w:t>
                            </w:r>
                            <w:r w:rsidRPr="009301DF">
                              <w:rPr>
                                <w:i/>
                                <w:sz w:val="22"/>
                              </w:rPr>
                              <w:t>Listeria monocytogenes</w:t>
                            </w:r>
                          </w:p>
                        </w:tc>
                        <w:tc>
                          <w:tcPr>
                            <w:tcW w:w="472" w:type="pct"/>
                            <w:tcBorders>
                              <w:top w:val="single" w:sz="4" w:space="0" w:color="auto"/>
                              <w:left w:val="single" w:sz="4" w:space="0" w:color="auto"/>
                            </w:tcBorders>
                            <w:shd w:val="clear" w:color="auto" w:fill="auto"/>
                          </w:tcPr>
                          <w:p w14:paraId="0B5E7EC3" w14:textId="77777777" w:rsidR="002F0761" w:rsidRPr="009301DF" w:rsidRDefault="002F0761" w:rsidP="002F0761">
                            <w:pPr>
                              <w:pStyle w:val="Inne0"/>
                              <w:spacing w:after="0"/>
                              <w:rPr>
                                <w:sz w:val="22"/>
                                <w:szCs w:val="22"/>
                              </w:rPr>
                            </w:pPr>
                            <w:r w:rsidRPr="009301DF">
                              <w:rPr>
                                <w:sz w:val="22"/>
                              </w:rPr>
                              <w:t>Gotowanie i suszenie</w:t>
                            </w:r>
                          </w:p>
                        </w:tc>
                        <w:tc>
                          <w:tcPr>
                            <w:tcW w:w="1381" w:type="pct"/>
                            <w:tcBorders>
                              <w:top w:val="single" w:sz="4" w:space="0" w:color="auto"/>
                              <w:left w:val="single" w:sz="4" w:space="0" w:color="auto"/>
                            </w:tcBorders>
                            <w:shd w:val="clear" w:color="auto" w:fill="auto"/>
                          </w:tcPr>
                          <w:p w14:paraId="4331C439" w14:textId="77777777" w:rsidR="002F0761" w:rsidRPr="009301DF" w:rsidRDefault="002F0761" w:rsidP="002F0761">
                            <w:pPr>
                              <w:pStyle w:val="Inne0"/>
                              <w:spacing w:after="0"/>
                              <w:rPr>
                                <w:sz w:val="22"/>
                                <w:szCs w:val="22"/>
                              </w:rPr>
                            </w:pPr>
                            <w:r w:rsidRPr="009301DF">
                              <w:rPr>
                                <w:sz w:val="22"/>
                              </w:rPr>
                              <w:t>(Dla procesu typu 1-A)</w:t>
                            </w:r>
                          </w:p>
                          <w:p w14:paraId="6741A030" w14:textId="77777777" w:rsidR="002F0761" w:rsidRPr="009301DF" w:rsidRDefault="002F0761" w:rsidP="002F0761">
                            <w:pPr>
                              <w:pStyle w:val="Inne0"/>
                              <w:spacing w:after="0" w:line="276" w:lineRule="auto"/>
                              <w:ind w:firstLine="620"/>
                              <w:rPr>
                                <w:sz w:val="22"/>
                                <w:szCs w:val="22"/>
                              </w:rPr>
                            </w:pPr>
                            <w:r w:rsidRPr="009301DF">
                              <w:rPr>
                                <w:sz w:val="22"/>
                              </w:rPr>
                              <w:t>Etap 1* -</w:t>
                            </w:r>
                          </w:p>
                          <w:p w14:paraId="5BAB3757" w14:textId="77777777" w:rsidR="002F0761" w:rsidRPr="009301DF" w:rsidRDefault="002F0761" w:rsidP="002F0761">
                            <w:pPr>
                              <w:pStyle w:val="Inne0"/>
                              <w:spacing w:after="260" w:line="276" w:lineRule="auto"/>
                              <w:ind w:left="620"/>
                              <w:rPr>
                                <w:sz w:val="22"/>
                                <w:szCs w:val="22"/>
                              </w:rPr>
                            </w:pPr>
                            <w:r w:rsidRPr="009301DF">
                              <w:rPr>
                                <w:sz w:val="22"/>
                              </w:rPr>
                              <w:t>170°F (piekarnik musi osiągnąć 145°F w ciągu 10 minut oraz 170°F w ciągu 25 minut.</w:t>
                            </w:r>
                          </w:p>
                          <w:p w14:paraId="5276DFA4" w14:textId="77777777" w:rsidR="002F0761" w:rsidRPr="009301DF" w:rsidRDefault="002F0761" w:rsidP="002F0761">
                            <w:pPr>
                              <w:pStyle w:val="Inne0"/>
                              <w:spacing w:after="0" w:line="276" w:lineRule="auto"/>
                              <w:ind w:firstLine="620"/>
                              <w:rPr>
                                <w:sz w:val="22"/>
                                <w:szCs w:val="22"/>
                              </w:rPr>
                            </w:pPr>
                            <w:r w:rsidRPr="009301DF">
                              <w:rPr>
                                <w:sz w:val="22"/>
                              </w:rPr>
                              <w:t>Etap 2:</w:t>
                            </w:r>
                          </w:p>
                          <w:p w14:paraId="356E8B05" w14:textId="77777777" w:rsidR="002F0761" w:rsidRPr="009301DF" w:rsidRDefault="002F0761" w:rsidP="002F0761">
                            <w:pPr>
                              <w:pStyle w:val="Inne0"/>
                              <w:spacing w:after="0" w:line="276" w:lineRule="auto"/>
                              <w:ind w:firstLine="620"/>
                              <w:rPr>
                                <w:sz w:val="22"/>
                                <w:szCs w:val="22"/>
                              </w:rPr>
                            </w:pPr>
                            <w:r w:rsidRPr="009301DF">
                              <w:rPr>
                                <w:sz w:val="22"/>
                              </w:rPr>
                              <w:t>Wybierz jedną z opcji:</w:t>
                            </w:r>
                          </w:p>
                          <w:p w14:paraId="6CD7FCA1" w14:textId="77777777" w:rsidR="002F0761" w:rsidRPr="009301DF" w:rsidRDefault="002F0761" w:rsidP="002F0761">
                            <w:pPr>
                              <w:pStyle w:val="Inne0"/>
                              <w:spacing w:after="0" w:line="276" w:lineRule="auto"/>
                              <w:ind w:left="620"/>
                              <w:rPr>
                                <w:sz w:val="22"/>
                                <w:szCs w:val="22"/>
                              </w:rPr>
                            </w:pPr>
                            <w:r w:rsidRPr="009301DF">
                              <w:rPr>
                                <w:sz w:val="22"/>
                              </w:rPr>
                              <w:t>Termometr suchy o temperaturze 170°F i termometr mokry o temperaturze 125°F przez co najmniej 60 minut; LUB Termometr suchy o temperaturze 170°F i termometr mokry o temperaturze 130°F przez co najmniej 60 minut;</w:t>
                            </w:r>
                          </w:p>
                          <w:p w14:paraId="3503A712" w14:textId="77777777" w:rsidR="002F0761" w:rsidRPr="009301DF" w:rsidRDefault="002F0761" w:rsidP="002F0761">
                            <w:pPr>
                              <w:pStyle w:val="Inne0"/>
                              <w:spacing w:after="0" w:line="276" w:lineRule="auto"/>
                              <w:ind w:left="620"/>
                              <w:rPr>
                                <w:sz w:val="22"/>
                                <w:szCs w:val="22"/>
                              </w:rPr>
                            </w:pPr>
                            <w:r w:rsidRPr="009301DF">
                              <w:rPr>
                                <w:sz w:val="22"/>
                              </w:rPr>
                              <w:t>LUB termometr suchy o temperaturze 170°F i termometr mokry o temperaturze 135°F przez co najmniej 30 minut;</w:t>
                            </w:r>
                          </w:p>
                          <w:p w14:paraId="682D3DAC" w14:textId="77777777" w:rsidR="002F0761" w:rsidRPr="009301DF" w:rsidRDefault="002F0761" w:rsidP="002F0761">
                            <w:pPr>
                              <w:pStyle w:val="Inne0"/>
                              <w:spacing w:after="260" w:line="276" w:lineRule="auto"/>
                              <w:ind w:left="620"/>
                              <w:rPr>
                                <w:sz w:val="22"/>
                                <w:szCs w:val="22"/>
                              </w:rPr>
                            </w:pPr>
                            <w:r w:rsidRPr="009301DF">
                              <w:rPr>
                                <w:sz w:val="22"/>
                              </w:rPr>
                              <w:t>LUB termometr suchy o temperaturze 170°F i termometr mokry o temperaturze 140°F przez co najmniej 10 minut.</w:t>
                            </w:r>
                          </w:p>
                          <w:p w14:paraId="2AA3CB0C" w14:textId="77777777" w:rsidR="002F0761" w:rsidRPr="009301DF" w:rsidRDefault="002F0761" w:rsidP="002F0761">
                            <w:pPr>
                              <w:pStyle w:val="Inne0"/>
                              <w:spacing w:after="180" w:line="276" w:lineRule="auto"/>
                              <w:ind w:left="620"/>
                              <w:rPr>
                                <w:sz w:val="22"/>
                                <w:szCs w:val="22"/>
                              </w:rPr>
                            </w:pPr>
                            <w:r w:rsidRPr="009301DF">
                              <w:rPr>
                                <w:sz w:val="22"/>
                              </w:rPr>
                              <w:t>Etap 3 - Suszenie w temperaturze 170°F termometru suchego do uzyskania odpowiedniej konsystencji</w:t>
                            </w:r>
                          </w:p>
                          <w:p w14:paraId="68B163D9" w14:textId="77777777" w:rsidR="002F0761" w:rsidRPr="009301DF" w:rsidRDefault="002F0761" w:rsidP="002F0761">
                            <w:pPr>
                              <w:pStyle w:val="Inne0"/>
                              <w:spacing w:after="260"/>
                              <w:rPr>
                                <w:sz w:val="22"/>
                                <w:szCs w:val="22"/>
                              </w:rPr>
                            </w:pPr>
                            <w:r w:rsidRPr="009301DF">
                              <w:rPr>
                                <w:sz w:val="22"/>
                              </w:rPr>
                              <w:t>Wilgotność względna podczas skoku temperatury termometru mokrego na etapie 2, aktywność wody w produkcie pod koniec skoku temperatury termometru mokrego i całkowity czas suszenia.</w:t>
                            </w:r>
                          </w:p>
                        </w:tc>
                        <w:tc>
                          <w:tcPr>
                            <w:tcW w:w="943" w:type="pct"/>
                            <w:tcBorders>
                              <w:top w:val="single" w:sz="4" w:space="0" w:color="auto"/>
                              <w:left w:val="single" w:sz="4" w:space="0" w:color="auto"/>
                            </w:tcBorders>
                            <w:shd w:val="clear" w:color="auto" w:fill="auto"/>
                          </w:tcPr>
                          <w:p w14:paraId="78506986" w14:textId="77777777" w:rsidR="002F0761" w:rsidRPr="009301DF" w:rsidRDefault="002F0761" w:rsidP="002F0761">
                            <w:pPr>
                              <w:pStyle w:val="Inne0"/>
                              <w:spacing w:after="0"/>
                              <w:rPr>
                                <w:sz w:val="22"/>
                                <w:szCs w:val="22"/>
                              </w:rPr>
                            </w:pPr>
                            <w:r w:rsidRPr="009301DF">
                              <w:rPr>
                                <w:sz w:val="22"/>
                              </w:rPr>
                              <w:t>Podsumowanie limitów krytycznych dla stabilności przechowywania suszonej wołowiny i produktów pokrewnych:</w:t>
                            </w:r>
                          </w:p>
                          <w:p w14:paraId="3FED36E3" w14:textId="77777777" w:rsidR="002F0761" w:rsidRPr="00540146" w:rsidRDefault="002F0761" w:rsidP="002F0761">
                            <w:pPr>
                              <w:pStyle w:val="Inne0"/>
                              <w:rPr>
                                <w:sz w:val="22"/>
                                <w:szCs w:val="22"/>
                                <w:lang w:val="en-US"/>
                              </w:rPr>
                            </w:pPr>
                            <w:hyperlink r:id="rId85" w:history="1">
                              <w:r w:rsidRPr="00540146">
                                <w:rPr>
                                  <w:sz w:val="22"/>
                                  <w:lang w:val="en-US"/>
                                </w:rPr>
                                <w:t>http://www.meathaccp</w:t>
                              </w:r>
                            </w:hyperlink>
                            <w:r w:rsidRPr="00540146">
                              <w:rPr>
                                <w:sz w:val="22"/>
                                <w:lang w:val="en-US"/>
                              </w:rPr>
                              <w:t>. wisc.edu/validation/ass ets/CLSummary_WMJ erkyJune2013.pdf.</w:t>
                            </w:r>
                          </w:p>
                          <w:p w14:paraId="0A5F6A06" w14:textId="77777777" w:rsidR="002F0761" w:rsidRPr="00540146" w:rsidRDefault="002F0761" w:rsidP="002F0761">
                            <w:pPr>
                              <w:pStyle w:val="Inne0"/>
                              <w:spacing w:after="0"/>
                              <w:rPr>
                                <w:sz w:val="22"/>
                                <w:szCs w:val="22"/>
                                <w:lang w:val="en-US"/>
                              </w:rPr>
                            </w:pPr>
                            <w:r w:rsidRPr="00540146">
                              <w:rPr>
                                <w:sz w:val="22"/>
                                <w:lang w:val="en-US"/>
                              </w:rPr>
                              <w:t>Buege, D.R., Searls, G. i Ingham, S.C.</w:t>
                            </w:r>
                          </w:p>
                          <w:p w14:paraId="09732D91" w14:textId="77777777" w:rsidR="002F0761" w:rsidRPr="009301DF" w:rsidRDefault="002F0761" w:rsidP="002F0761">
                            <w:pPr>
                              <w:pStyle w:val="Inne0"/>
                              <w:spacing w:after="0"/>
                              <w:rPr>
                                <w:sz w:val="22"/>
                                <w:szCs w:val="22"/>
                              </w:rPr>
                            </w:pPr>
                            <w:r w:rsidRPr="00540146">
                              <w:rPr>
                                <w:sz w:val="22"/>
                                <w:lang w:val="en-US"/>
                              </w:rPr>
                              <w:t xml:space="preserve">2006. Śmiertelność w komercyjnych procesach produkcji suszonego mięsa wołowego przeciwko serotypom </w:t>
                            </w:r>
                            <w:r w:rsidRPr="00540146">
                              <w:rPr>
                                <w:i/>
                                <w:sz w:val="22"/>
                                <w:lang w:val="en-US"/>
                              </w:rPr>
                              <w:t>Salmonella</w:t>
                            </w:r>
                            <w:r w:rsidRPr="00540146">
                              <w:rPr>
                                <w:sz w:val="22"/>
                                <w:lang w:val="en-US"/>
                              </w:rPr>
                              <w:t xml:space="preserve"> i </w:t>
                            </w:r>
                            <w:r w:rsidRPr="00540146">
                              <w:rPr>
                                <w:i/>
                                <w:sz w:val="22"/>
                                <w:lang w:val="en-US"/>
                              </w:rPr>
                              <w:t xml:space="preserve">Escherichia coli </w:t>
                            </w:r>
                            <w:r w:rsidRPr="00540146">
                              <w:rPr>
                                <w:sz w:val="22"/>
                                <w:lang w:val="en-US"/>
                              </w:rPr>
                              <w:t>O157:H7 (</w:t>
                            </w:r>
                            <w:r w:rsidRPr="00540146">
                              <w:rPr>
                                <w:i/>
                                <w:iCs/>
                                <w:sz w:val="22"/>
                                <w:lang w:val="en-US"/>
                              </w:rPr>
                              <w:t>Lethality of commercial wholemuscle beef jerky manufacturing processes against Salmonella Serovars and Escherichia coli O157:H7</w:t>
                            </w:r>
                            <w:r w:rsidRPr="00540146">
                              <w:rPr>
                                <w:sz w:val="22"/>
                                <w:lang w:val="en-US"/>
                              </w:rPr>
                              <w:t xml:space="preserve">). </w:t>
                            </w:r>
                            <w:r w:rsidRPr="009301DF">
                              <w:rPr>
                                <w:i/>
                                <w:sz w:val="22"/>
                              </w:rPr>
                              <w:t>J. Food Prot</w:t>
                            </w:r>
                            <w:r w:rsidRPr="009301DF">
                              <w:rPr>
                                <w:sz w:val="22"/>
                              </w:rPr>
                              <w:t>: 69(9): 2091-2099.</w:t>
                            </w:r>
                          </w:p>
                        </w:tc>
                        <w:tc>
                          <w:tcPr>
                            <w:tcW w:w="1018" w:type="pct"/>
                            <w:tcBorders>
                              <w:top w:val="single" w:sz="4" w:space="0" w:color="auto"/>
                              <w:left w:val="single" w:sz="4" w:space="0" w:color="auto"/>
                            </w:tcBorders>
                            <w:shd w:val="clear" w:color="auto" w:fill="auto"/>
                          </w:tcPr>
                          <w:p w14:paraId="22A7CECC" w14:textId="77777777" w:rsidR="002F0761" w:rsidRPr="009301DF" w:rsidRDefault="002F0761" w:rsidP="002F0761">
                            <w:pPr>
                              <w:pStyle w:val="Inne0"/>
                              <w:spacing w:after="220"/>
                              <w:rPr>
                                <w:sz w:val="22"/>
                                <w:szCs w:val="22"/>
                              </w:rPr>
                            </w:pPr>
                            <w:r w:rsidRPr="009301DF">
                              <w:rPr>
                                <w:sz w:val="22"/>
                              </w:rPr>
                              <w:t>Zapisy z monitoringu w zakładzie za okres 90 dni przedstawiające dane dotyczące czasu oraz temperatury termometru suchego i mokrego.</w:t>
                            </w:r>
                          </w:p>
                          <w:p w14:paraId="1AB527A7" w14:textId="77777777" w:rsidR="002F0761" w:rsidRPr="009301DF" w:rsidRDefault="002F0761" w:rsidP="002F0761">
                            <w:pPr>
                              <w:pStyle w:val="Inne0"/>
                              <w:spacing w:after="220"/>
                              <w:rPr>
                                <w:sz w:val="22"/>
                                <w:szCs w:val="22"/>
                              </w:rPr>
                            </w:pPr>
                            <w:r w:rsidRPr="009301DF">
                              <w:rPr>
                                <w:sz w:val="22"/>
                              </w:rPr>
                              <w:t>Użycie termometrów suchego i mokrego do obliczenia wilgotności względnej lub użycie czujnika wilgotności do pomiaru wilgotności względnej podczas skoku temperatury mokrego termometru i porównanie wyników testu z wynikami wilgotności względnej w tabeli 2 artykułu.</w:t>
                            </w:r>
                          </w:p>
                          <w:p w14:paraId="32BEE658" w14:textId="77777777" w:rsidR="002F0761" w:rsidRPr="009301DF" w:rsidRDefault="002F0761" w:rsidP="002F0761">
                            <w:pPr>
                              <w:pStyle w:val="Inne0"/>
                              <w:spacing w:after="220"/>
                              <w:rPr>
                                <w:sz w:val="22"/>
                                <w:szCs w:val="22"/>
                              </w:rPr>
                            </w:pPr>
                            <w:r w:rsidRPr="009301DF">
                              <w:rPr>
                                <w:sz w:val="22"/>
                              </w:rPr>
                              <w:t>Testowanie suszonego mięsa wołowego pod kątem aktywności wody pod koniec skoku temperatury termometru mokrego i porównanie wyników testu z wynikami aktywności wody w tabeli 2 artykułu.</w:t>
                            </w:r>
                          </w:p>
                        </w:tc>
                        <w:tc>
                          <w:tcPr>
                            <w:tcW w:w="68" w:type="pct"/>
                            <w:vMerge/>
                            <w:tcBorders>
                              <w:left w:val="single" w:sz="4" w:space="0" w:color="auto"/>
                            </w:tcBorders>
                            <w:shd w:val="clear" w:color="auto" w:fill="auto"/>
                          </w:tcPr>
                          <w:p w14:paraId="60978C0B" w14:textId="77777777" w:rsidR="002F0761" w:rsidRPr="009301DF" w:rsidRDefault="002F0761" w:rsidP="002F0761"/>
                        </w:tc>
                      </w:tr>
                      <w:tr w:rsidR="002F0761" w:rsidRPr="009301DF" w14:paraId="758CBACE" w14:textId="77777777" w:rsidTr="002F0761">
                        <w:trPr>
                          <w:trHeight w:hRule="exact" w:val="856"/>
                        </w:trPr>
                        <w:tc>
                          <w:tcPr>
                            <w:tcW w:w="5000" w:type="pct"/>
                            <w:gridSpan w:val="7"/>
                            <w:tcBorders>
                              <w:top w:val="single" w:sz="4" w:space="0" w:color="auto"/>
                            </w:tcBorders>
                            <w:shd w:val="clear" w:color="auto" w:fill="auto"/>
                            <w:vAlign w:val="bottom"/>
                          </w:tcPr>
                          <w:p w14:paraId="4530A091" w14:textId="77777777" w:rsidR="002F0761" w:rsidRPr="009301DF" w:rsidRDefault="002F0761" w:rsidP="002F0761">
                            <w:pPr>
                              <w:pStyle w:val="Inne0"/>
                              <w:spacing w:after="0"/>
                              <w:ind w:left="-12"/>
                              <w:rPr>
                                <w:sz w:val="20"/>
                                <w:szCs w:val="20"/>
                              </w:rPr>
                            </w:pPr>
                            <w:r w:rsidRPr="009301DF">
                              <w:rPr>
                                <w:sz w:val="22"/>
                              </w:rPr>
                              <w:t>*</w:t>
                            </w:r>
                            <w:r w:rsidRPr="009301DF">
                              <w:rPr>
                                <w:sz w:val="20"/>
                              </w:rPr>
                              <w:t>Ten przykład dotyczy procesu typu 1-A. Należy pamiętać, że typ 1-A może być przetwarzany z wyższą temperaturą termometru suchego w etapie 1, wyższą temperaturą termometru mokrego lub dłuższym czasem w etapie 2, lub wyższą temperaturą termometru suchego w etapie 3, o ile piec osiągnie minimalną temperaturę określoną w etapie 1.</w:t>
                            </w:r>
                          </w:p>
                        </w:tc>
                      </w:tr>
                    </w:tbl>
                    <w:p w14:paraId="415A5A7E" w14:textId="77777777" w:rsidR="002F0761" w:rsidRDefault="002F0761"/>
                  </w:txbxContent>
                </v:textbox>
              </v:shape>
            </w:pict>
          </mc:Fallback>
        </mc:AlternateContent>
      </w:r>
    </w:p>
    <w:p w14:paraId="2BFD6611"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334166D4" w14:textId="3CA29F04" w:rsidR="00632C48" w:rsidRPr="009301DF" w:rsidRDefault="002F0761">
      <w:pPr>
        <w:spacing w:line="1" w:lineRule="exact"/>
      </w:pPr>
      <w:r>
        <w:rPr>
          <w:noProof/>
        </w:rPr>
        <w:lastRenderedPageBreak/>
        <mc:AlternateContent>
          <mc:Choice Requires="wps">
            <w:drawing>
              <wp:anchor distT="0" distB="0" distL="114300" distR="114300" simplePos="0" relativeHeight="251662336" behindDoc="0" locked="0" layoutInCell="1" allowOverlap="1" wp14:anchorId="45BB2A01" wp14:editId="35D98387">
                <wp:simplePos x="0" y="0"/>
                <wp:positionH relativeFrom="column">
                  <wp:posOffset>451714</wp:posOffset>
                </wp:positionH>
                <wp:positionV relativeFrom="paragraph">
                  <wp:posOffset>71323</wp:posOffset>
                </wp:positionV>
                <wp:extent cx="8156448" cy="7395667"/>
                <wp:effectExtent l="0" t="0" r="0" b="0"/>
                <wp:wrapNone/>
                <wp:docPr id="2146012173" name="Pole tekstowe 4"/>
                <wp:cNvGraphicFramePr/>
                <a:graphic xmlns:a="http://schemas.openxmlformats.org/drawingml/2006/main">
                  <a:graphicData uri="http://schemas.microsoft.com/office/word/2010/wordprocessingShape">
                    <wps:wsp>
                      <wps:cNvSpPr txBox="1"/>
                      <wps:spPr>
                        <a:xfrm>
                          <a:off x="0" y="0"/>
                          <a:ext cx="8156448" cy="7395667"/>
                        </a:xfrm>
                        <a:prstGeom prst="rect">
                          <a:avLst/>
                        </a:prstGeom>
                        <a:solidFill>
                          <a:schemeClr val="lt1"/>
                        </a:solidFill>
                        <a:ln w="6350">
                          <a:noFill/>
                        </a:ln>
                      </wps:spPr>
                      <wps:txbx>
                        <w:txbxContent>
                          <w:tbl>
                            <w:tblPr>
                              <w:tblOverlap w:val="never"/>
                              <w:tblW w:w="4834" w:type="pct"/>
                              <w:tblCellMar>
                                <w:left w:w="10" w:type="dxa"/>
                                <w:right w:w="10" w:type="dxa"/>
                              </w:tblCellMar>
                              <w:tblLook w:val="04A0" w:firstRow="1" w:lastRow="0" w:firstColumn="1" w:lastColumn="0" w:noHBand="0" w:noVBand="1"/>
                            </w:tblPr>
                            <w:tblGrid>
                              <w:gridCol w:w="1291"/>
                              <w:gridCol w:w="1489"/>
                              <w:gridCol w:w="1069"/>
                              <w:gridCol w:w="1455"/>
                              <w:gridCol w:w="4632"/>
                              <w:gridCol w:w="2208"/>
                            </w:tblGrid>
                            <w:tr w:rsidR="002F0761" w:rsidRPr="002F0761" w14:paraId="18B4CB39" w14:textId="77777777" w:rsidTr="002F0761">
                              <w:trPr>
                                <w:trHeight w:hRule="exact" w:val="689"/>
                              </w:trPr>
                              <w:tc>
                                <w:tcPr>
                                  <w:tcW w:w="5000" w:type="pct"/>
                                  <w:gridSpan w:val="6"/>
                                  <w:shd w:val="clear" w:color="auto" w:fill="auto"/>
                                </w:tcPr>
                                <w:p w14:paraId="6A81FF3E" w14:textId="77777777" w:rsidR="002F0761" w:rsidRPr="002F0761" w:rsidRDefault="002F0761" w:rsidP="002F0761">
                                  <w:pPr>
                                    <w:pStyle w:val="Inne0"/>
                                    <w:spacing w:after="0"/>
                                    <w:rPr>
                                      <w:sz w:val="22"/>
                                      <w:szCs w:val="22"/>
                                    </w:rPr>
                                  </w:pPr>
                                  <w:r w:rsidRPr="002F0761">
                                    <w:rPr>
                                      <w:sz w:val="22"/>
                                      <w:szCs w:val="22"/>
                                    </w:rPr>
                                    <w:t>Wyłącznie do celów ilustracyjnych</w:t>
                                  </w:r>
                                </w:p>
                              </w:tc>
                            </w:tr>
                            <w:tr w:rsidR="002F0761" w:rsidRPr="002F0761" w14:paraId="720C7786" w14:textId="77777777" w:rsidTr="002F0761">
                              <w:trPr>
                                <w:trHeight w:hRule="exact" w:val="452"/>
                              </w:trPr>
                              <w:tc>
                                <w:tcPr>
                                  <w:tcW w:w="532" w:type="pct"/>
                                  <w:vMerge w:val="restart"/>
                                  <w:tcBorders>
                                    <w:top w:val="single" w:sz="4" w:space="0" w:color="auto"/>
                                    <w:left w:val="single" w:sz="4" w:space="0" w:color="auto"/>
                                  </w:tcBorders>
                                  <w:shd w:val="clear" w:color="auto" w:fill="auto"/>
                                </w:tcPr>
                                <w:p w14:paraId="6AE50BCB" w14:textId="77777777" w:rsidR="002F0761" w:rsidRPr="002F0761" w:rsidRDefault="002F0761" w:rsidP="002F0761">
                                  <w:pPr>
                                    <w:pStyle w:val="Inne0"/>
                                    <w:spacing w:after="0"/>
                                    <w:rPr>
                                      <w:sz w:val="20"/>
                                      <w:szCs w:val="20"/>
                                    </w:rPr>
                                  </w:pPr>
                                  <w:r w:rsidRPr="002F0761">
                                    <w:rPr>
                                      <w:sz w:val="20"/>
                                      <w:szCs w:val="20"/>
                                    </w:rPr>
                                    <w:t>Produkt</w:t>
                                  </w:r>
                                </w:p>
                              </w:tc>
                              <w:tc>
                                <w:tcPr>
                                  <w:tcW w:w="613" w:type="pct"/>
                                  <w:vMerge w:val="restart"/>
                                  <w:tcBorders>
                                    <w:top w:val="single" w:sz="4" w:space="0" w:color="auto"/>
                                    <w:left w:val="single" w:sz="4" w:space="0" w:color="auto"/>
                                  </w:tcBorders>
                                  <w:shd w:val="clear" w:color="auto" w:fill="auto"/>
                                </w:tcPr>
                                <w:p w14:paraId="70024C86" w14:textId="77777777" w:rsidR="002F0761" w:rsidRPr="002F0761" w:rsidRDefault="002F0761" w:rsidP="002F0761">
                                  <w:pPr>
                                    <w:pStyle w:val="Inne0"/>
                                    <w:spacing w:after="0"/>
                                    <w:rPr>
                                      <w:sz w:val="20"/>
                                      <w:szCs w:val="20"/>
                                    </w:rPr>
                                  </w:pPr>
                                  <w:r w:rsidRPr="002F0761">
                                    <w:rPr>
                                      <w:sz w:val="20"/>
                                      <w:szCs w:val="20"/>
                                    </w:rPr>
                                    <w:t>Zagrożenie:</w:t>
                                  </w:r>
                                </w:p>
                              </w:tc>
                              <w:tc>
                                <w:tcPr>
                                  <w:tcW w:w="440" w:type="pct"/>
                                  <w:vMerge w:val="restart"/>
                                  <w:tcBorders>
                                    <w:top w:val="single" w:sz="4" w:space="0" w:color="auto"/>
                                    <w:left w:val="single" w:sz="4" w:space="0" w:color="auto"/>
                                  </w:tcBorders>
                                  <w:shd w:val="clear" w:color="auto" w:fill="auto"/>
                                </w:tcPr>
                                <w:p w14:paraId="233EB288" w14:textId="77777777" w:rsidR="002F0761" w:rsidRPr="002F0761" w:rsidRDefault="002F0761" w:rsidP="002F0761">
                                  <w:pPr>
                                    <w:pStyle w:val="Inne0"/>
                                    <w:spacing w:after="0"/>
                                    <w:rPr>
                                      <w:sz w:val="20"/>
                                      <w:szCs w:val="20"/>
                                    </w:rPr>
                                  </w:pPr>
                                  <w:r w:rsidRPr="002F0761">
                                    <w:rPr>
                                      <w:sz w:val="20"/>
                                      <w:szCs w:val="20"/>
                                    </w:rPr>
                                    <w:t>Proces</w:t>
                                  </w:r>
                                </w:p>
                              </w:tc>
                              <w:tc>
                                <w:tcPr>
                                  <w:tcW w:w="599" w:type="pct"/>
                                  <w:vMerge w:val="restart"/>
                                  <w:tcBorders>
                                    <w:top w:val="single" w:sz="4" w:space="0" w:color="auto"/>
                                    <w:left w:val="single" w:sz="4" w:space="0" w:color="auto"/>
                                  </w:tcBorders>
                                  <w:shd w:val="clear" w:color="auto" w:fill="auto"/>
                                </w:tcPr>
                                <w:p w14:paraId="3753DD01" w14:textId="77777777" w:rsidR="002F0761" w:rsidRPr="002F0761" w:rsidRDefault="002F0761" w:rsidP="002F0761">
                                  <w:pPr>
                                    <w:pStyle w:val="Inne0"/>
                                    <w:spacing w:after="0"/>
                                    <w:rPr>
                                      <w:sz w:val="20"/>
                                      <w:szCs w:val="20"/>
                                    </w:rPr>
                                  </w:pPr>
                                  <w:r w:rsidRPr="002F0761">
                                    <w:rPr>
                                      <w:sz w:val="20"/>
                                      <w:szCs w:val="20"/>
                                    </w:rPr>
                                    <w:t>Krytyczne parametry operacyjne</w:t>
                                  </w:r>
                                </w:p>
                              </w:tc>
                              <w:tc>
                                <w:tcPr>
                                  <w:tcW w:w="2816" w:type="pct"/>
                                  <w:gridSpan w:val="2"/>
                                  <w:tcBorders>
                                    <w:top w:val="single" w:sz="4" w:space="0" w:color="auto"/>
                                    <w:left w:val="single" w:sz="4" w:space="0" w:color="auto"/>
                                  </w:tcBorders>
                                  <w:shd w:val="clear" w:color="auto" w:fill="auto"/>
                                </w:tcPr>
                                <w:p w14:paraId="275241C9" w14:textId="77777777" w:rsidR="002F0761" w:rsidRPr="002F0761" w:rsidRDefault="002F0761" w:rsidP="002F0761">
                                  <w:pPr>
                                    <w:pStyle w:val="Inne0"/>
                                    <w:spacing w:after="0"/>
                                    <w:rPr>
                                      <w:sz w:val="20"/>
                                      <w:szCs w:val="20"/>
                                    </w:rPr>
                                  </w:pPr>
                                  <w:r w:rsidRPr="002F0761">
                                    <w:rPr>
                                      <w:sz w:val="20"/>
                                      <w:szCs w:val="20"/>
                                    </w:rPr>
                                    <w:t>Potwierdzenie</w:t>
                                  </w:r>
                                </w:p>
                              </w:tc>
                            </w:tr>
                            <w:tr w:rsidR="002F0761" w:rsidRPr="002F0761" w14:paraId="0DF901B7" w14:textId="77777777" w:rsidTr="002F0761">
                              <w:trPr>
                                <w:trHeight w:hRule="exact" w:val="647"/>
                              </w:trPr>
                              <w:tc>
                                <w:tcPr>
                                  <w:tcW w:w="532" w:type="pct"/>
                                  <w:vMerge/>
                                  <w:tcBorders>
                                    <w:left w:val="single" w:sz="4" w:space="0" w:color="auto"/>
                                  </w:tcBorders>
                                  <w:shd w:val="clear" w:color="auto" w:fill="auto"/>
                                </w:tcPr>
                                <w:p w14:paraId="6352458A" w14:textId="77777777" w:rsidR="002F0761" w:rsidRPr="002F0761" w:rsidRDefault="002F0761" w:rsidP="002F0761">
                                  <w:pPr>
                                    <w:rPr>
                                      <w:sz w:val="20"/>
                                      <w:szCs w:val="20"/>
                                    </w:rPr>
                                  </w:pPr>
                                </w:p>
                              </w:tc>
                              <w:tc>
                                <w:tcPr>
                                  <w:tcW w:w="613" w:type="pct"/>
                                  <w:vMerge/>
                                  <w:tcBorders>
                                    <w:left w:val="single" w:sz="4" w:space="0" w:color="auto"/>
                                  </w:tcBorders>
                                  <w:shd w:val="clear" w:color="auto" w:fill="auto"/>
                                </w:tcPr>
                                <w:p w14:paraId="6642B4B1" w14:textId="77777777" w:rsidR="002F0761" w:rsidRPr="002F0761" w:rsidRDefault="002F0761" w:rsidP="002F0761">
                                  <w:pPr>
                                    <w:rPr>
                                      <w:sz w:val="20"/>
                                      <w:szCs w:val="20"/>
                                    </w:rPr>
                                  </w:pPr>
                                </w:p>
                              </w:tc>
                              <w:tc>
                                <w:tcPr>
                                  <w:tcW w:w="440" w:type="pct"/>
                                  <w:vMerge/>
                                  <w:tcBorders>
                                    <w:left w:val="single" w:sz="4" w:space="0" w:color="auto"/>
                                  </w:tcBorders>
                                  <w:shd w:val="clear" w:color="auto" w:fill="auto"/>
                                </w:tcPr>
                                <w:p w14:paraId="281AEA48" w14:textId="77777777" w:rsidR="002F0761" w:rsidRPr="002F0761" w:rsidRDefault="002F0761" w:rsidP="002F0761">
                                  <w:pPr>
                                    <w:rPr>
                                      <w:sz w:val="20"/>
                                      <w:szCs w:val="20"/>
                                    </w:rPr>
                                  </w:pPr>
                                </w:p>
                              </w:tc>
                              <w:tc>
                                <w:tcPr>
                                  <w:tcW w:w="599" w:type="pct"/>
                                  <w:vMerge/>
                                  <w:tcBorders>
                                    <w:left w:val="single" w:sz="4" w:space="0" w:color="auto"/>
                                  </w:tcBorders>
                                  <w:shd w:val="clear" w:color="auto" w:fill="auto"/>
                                </w:tcPr>
                                <w:p w14:paraId="2B9A88ED" w14:textId="77777777" w:rsidR="002F0761" w:rsidRPr="002F0761" w:rsidRDefault="002F0761" w:rsidP="002F0761">
                                  <w:pPr>
                                    <w:rPr>
                                      <w:sz w:val="20"/>
                                      <w:szCs w:val="20"/>
                                    </w:rPr>
                                  </w:pPr>
                                </w:p>
                              </w:tc>
                              <w:tc>
                                <w:tcPr>
                                  <w:tcW w:w="1907" w:type="pct"/>
                                  <w:tcBorders>
                                    <w:top w:val="single" w:sz="4" w:space="0" w:color="auto"/>
                                    <w:left w:val="single" w:sz="4" w:space="0" w:color="auto"/>
                                  </w:tcBorders>
                                  <w:shd w:val="clear" w:color="auto" w:fill="auto"/>
                                </w:tcPr>
                                <w:p w14:paraId="6283AB7C" w14:textId="77777777" w:rsidR="002F0761" w:rsidRPr="002F0761" w:rsidRDefault="002F0761" w:rsidP="002F0761">
                                  <w:pPr>
                                    <w:pStyle w:val="Inne0"/>
                                    <w:spacing w:after="0"/>
                                    <w:rPr>
                                      <w:sz w:val="20"/>
                                      <w:szCs w:val="20"/>
                                    </w:rPr>
                                  </w:pPr>
                                  <w:r w:rsidRPr="002F0761">
                                    <w:rPr>
                                      <w:sz w:val="20"/>
                                      <w:szCs w:val="20"/>
                                    </w:rPr>
                                    <w:t>Wsparcie naukowe lub techniczne</w:t>
                                  </w:r>
                                </w:p>
                              </w:tc>
                              <w:tc>
                                <w:tcPr>
                                  <w:tcW w:w="909" w:type="pct"/>
                                  <w:tcBorders>
                                    <w:top w:val="single" w:sz="4" w:space="0" w:color="auto"/>
                                    <w:left w:val="single" w:sz="4" w:space="0" w:color="auto"/>
                                  </w:tcBorders>
                                  <w:shd w:val="clear" w:color="auto" w:fill="auto"/>
                                </w:tcPr>
                                <w:p w14:paraId="7056A782" w14:textId="77777777" w:rsidR="002F0761" w:rsidRPr="002F0761" w:rsidRDefault="002F0761" w:rsidP="002F0761">
                                  <w:pPr>
                                    <w:pStyle w:val="Inne0"/>
                                    <w:spacing w:after="0"/>
                                    <w:rPr>
                                      <w:sz w:val="20"/>
                                      <w:szCs w:val="20"/>
                                    </w:rPr>
                                  </w:pPr>
                                  <w:r w:rsidRPr="002F0761">
                                    <w:rPr>
                                      <w:sz w:val="20"/>
                                      <w:szCs w:val="20"/>
                                    </w:rPr>
                                    <w:t>Wewnątrzzakładowe dane walidacyjne</w:t>
                                  </w:r>
                                </w:p>
                              </w:tc>
                            </w:tr>
                            <w:tr w:rsidR="002F0761" w:rsidRPr="002F0761" w14:paraId="6B76D0CC" w14:textId="77777777" w:rsidTr="002F0761">
                              <w:trPr>
                                <w:trHeight w:hRule="exact" w:val="8824"/>
                              </w:trPr>
                              <w:tc>
                                <w:tcPr>
                                  <w:tcW w:w="532" w:type="pct"/>
                                  <w:tcBorders>
                                    <w:top w:val="single" w:sz="4" w:space="0" w:color="auto"/>
                                    <w:left w:val="single" w:sz="4" w:space="0" w:color="auto"/>
                                  </w:tcBorders>
                                  <w:shd w:val="clear" w:color="auto" w:fill="auto"/>
                                </w:tcPr>
                                <w:p w14:paraId="24C37E62" w14:textId="77777777" w:rsidR="002F0761" w:rsidRPr="002F0761" w:rsidRDefault="002F0761" w:rsidP="002F0761">
                                  <w:pPr>
                                    <w:pStyle w:val="Inne0"/>
                                    <w:spacing w:after="0"/>
                                    <w:rPr>
                                      <w:sz w:val="20"/>
                                      <w:szCs w:val="20"/>
                                    </w:rPr>
                                  </w:pPr>
                                  <w:r w:rsidRPr="002F0761">
                                    <w:rPr>
                                      <w:sz w:val="20"/>
                                      <w:szCs w:val="20"/>
                                    </w:rPr>
                                    <w:t>Mięso poubojowe gotowe do spożycia i narażone na działanie czynników zewnętrznych</w:t>
                                  </w:r>
                                </w:p>
                              </w:tc>
                              <w:tc>
                                <w:tcPr>
                                  <w:tcW w:w="613" w:type="pct"/>
                                  <w:tcBorders>
                                    <w:top w:val="single" w:sz="4" w:space="0" w:color="auto"/>
                                    <w:left w:val="single" w:sz="4" w:space="0" w:color="auto"/>
                                  </w:tcBorders>
                                  <w:shd w:val="clear" w:color="auto" w:fill="auto"/>
                                </w:tcPr>
                                <w:p w14:paraId="7AD43237" w14:textId="77777777" w:rsidR="002F0761" w:rsidRPr="002F0761" w:rsidRDefault="002F0761" w:rsidP="002F0761">
                                  <w:pPr>
                                    <w:pStyle w:val="Inne0"/>
                                    <w:spacing w:after="0"/>
                                    <w:rPr>
                                      <w:sz w:val="20"/>
                                      <w:szCs w:val="20"/>
                                    </w:rPr>
                                  </w:pPr>
                                  <w:r w:rsidRPr="002F0761">
                                    <w:rPr>
                                      <w:sz w:val="20"/>
                                      <w:szCs w:val="20"/>
                                    </w:rPr>
                                    <w:t xml:space="preserve">Biologiczne - </w:t>
                                  </w:r>
                                  <w:r w:rsidRPr="002F0761">
                                    <w:rPr>
                                      <w:i/>
                                      <w:sz w:val="20"/>
                                      <w:szCs w:val="20"/>
                                    </w:rPr>
                                    <w:t>Listeria monocytogenes</w:t>
                                  </w:r>
                                </w:p>
                              </w:tc>
                              <w:tc>
                                <w:tcPr>
                                  <w:tcW w:w="440" w:type="pct"/>
                                  <w:tcBorders>
                                    <w:top w:val="single" w:sz="4" w:space="0" w:color="auto"/>
                                    <w:left w:val="single" w:sz="4" w:space="0" w:color="auto"/>
                                  </w:tcBorders>
                                  <w:shd w:val="clear" w:color="auto" w:fill="auto"/>
                                </w:tcPr>
                                <w:p w14:paraId="39976629" w14:textId="77777777" w:rsidR="002F0761" w:rsidRPr="002F0761" w:rsidRDefault="002F0761" w:rsidP="002F0761">
                                  <w:pPr>
                                    <w:pStyle w:val="Inne0"/>
                                    <w:spacing w:after="0"/>
                                    <w:rPr>
                                      <w:sz w:val="20"/>
                                      <w:szCs w:val="20"/>
                                    </w:rPr>
                                  </w:pPr>
                                  <w:r w:rsidRPr="002F0761">
                                    <w:rPr>
                                      <w:sz w:val="20"/>
                                      <w:szCs w:val="20"/>
                                    </w:rPr>
                                    <w:t>Program warunków wstępnych - SSOP</w:t>
                                  </w:r>
                                </w:p>
                              </w:tc>
                              <w:tc>
                                <w:tcPr>
                                  <w:tcW w:w="599" w:type="pct"/>
                                  <w:tcBorders>
                                    <w:top w:val="single" w:sz="4" w:space="0" w:color="auto"/>
                                    <w:left w:val="single" w:sz="4" w:space="0" w:color="auto"/>
                                  </w:tcBorders>
                                  <w:shd w:val="clear" w:color="auto" w:fill="auto"/>
                                </w:tcPr>
                                <w:p w14:paraId="0037083E" w14:textId="77777777" w:rsidR="002F0761" w:rsidRPr="002F0761" w:rsidRDefault="002F0761" w:rsidP="002F0761">
                                  <w:pPr>
                                    <w:pStyle w:val="Inne0"/>
                                    <w:spacing w:after="220"/>
                                    <w:rPr>
                                      <w:sz w:val="20"/>
                                      <w:szCs w:val="20"/>
                                    </w:rPr>
                                  </w:pPr>
                                  <w:r w:rsidRPr="002F0761">
                                    <w:rPr>
                                      <w:sz w:val="20"/>
                                      <w:szCs w:val="20"/>
                                    </w:rPr>
                                    <w:t xml:space="preserve">Program kontroli bakterii </w:t>
                                  </w:r>
                                  <w:r w:rsidRPr="002F0761">
                                    <w:rPr>
                                      <w:i/>
                                      <w:sz w:val="20"/>
                                      <w:szCs w:val="20"/>
                                    </w:rPr>
                                    <w:t xml:space="preserve">Listeria </w:t>
                                  </w:r>
                                  <w:r w:rsidRPr="002F0761">
                                    <w:rPr>
                                      <w:sz w:val="20"/>
                                      <w:szCs w:val="20"/>
                                    </w:rPr>
                                    <w:t>na powierzchniach mających kontakt z żywnością.</w:t>
                                  </w:r>
                                </w:p>
                                <w:p w14:paraId="5A43E1BA" w14:textId="77777777" w:rsidR="002F0761" w:rsidRPr="002F0761" w:rsidRDefault="002F0761" w:rsidP="002F0761">
                                  <w:pPr>
                                    <w:pStyle w:val="Inne0"/>
                                    <w:spacing w:after="220"/>
                                    <w:rPr>
                                      <w:sz w:val="20"/>
                                      <w:szCs w:val="20"/>
                                    </w:rPr>
                                  </w:pPr>
                                  <w:r w:rsidRPr="002F0761">
                                    <w:rPr>
                                      <w:sz w:val="20"/>
                                      <w:szCs w:val="20"/>
                                    </w:rPr>
                                    <w:t>Projekt sanitarny sprzętu i koncepcja strefy sanitarnej.</w:t>
                                  </w:r>
                                </w:p>
                                <w:p w14:paraId="7937870B" w14:textId="77777777" w:rsidR="002F0761" w:rsidRPr="002F0761" w:rsidRDefault="002F0761" w:rsidP="002F0761">
                                  <w:pPr>
                                    <w:pStyle w:val="Inne0"/>
                                    <w:spacing w:after="220"/>
                                    <w:rPr>
                                      <w:sz w:val="20"/>
                                      <w:szCs w:val="20"/>
                                    </w:rPr>
                                  </w:pPr>
                                  <w:r w:rsidRPr="002F0761">
                                    <w:rPr>
                                      <w:sz w:val="20"/>
                                      <w:szCs w:val="20"/>
                                    </w:rPr>
                                    <w:t>Częstotliwość pobierania próbek i liczba próbek, które należy pobrać na linię produkcyjną.</w:t>
                                  </w:r>
                                </w:p>
                              </w:tc>
                              <w:tc>
                                <w:tcPr>
                                  <w:tcW w:w="1907" w:type="pct"/>
                                  <w:tcBorders>
                                    <w:top w:val="single" w:sz="4" w:space="0" w:color="auto"/>
                                    <w:left w:val="single" w:sz="4" w:space="0" w:color="auto"/>
                                  </w:tcBorders>
                                  <w:shd w:val="clear" w:color="auto" w:fill="auto"/>
                                </w:tcPr>
                                <w:p w14:paraId="62449D7E" w14:textId="77777777" w:rsidR="002F0761" w:rsidRPr="002F0761" w:rsidRDefault="002F0761" w:rsidP="002F0761">
                                  <w:pPr>
                                    <w:pStyle w:val="Inne0"/>
                                    <w:spacing w:after="220"/>
                                    <w:rPr>
                                      <w:sz w:val="20"/>
                                      <w:szCs w:val="20"/>
                                    </w:rPr>
                                  </w:pPr>
                                  <w:r w:rsidRPr="002F0761">
                                    <w:rPr>
                                      <w:sz w:val="20"/>
                                      <w:szCs w:val="20"/>
                                    </w:rPr>
                                    <w:t>Joint Industry Task Force on Control of Microbial Pathogens in Ready-to-Eat Meat and Poultry Products (</w:t>
                                  </w:r>
                                  <w:r w:rsidRPr="002F0761">
                                    <w:rPr>
                                      <w:i/>
                                      <w:iCs/>
                                      <w:sz w:val="20"/>
                                      <w:szCs w:val="20"/>
                                    </w:rPr>
                                    <w:t>Wspólna branżowa grupa zadaniowa ds. kontroli patogenów mikrobiologicznych w gotowych do spożycia produktach mięsnych i drobiowych</w:t>
                                  </w:r>
                                  <w:r w:rsidRPr="002F0761">
                                    <w:rPr>
                                      <w:sz w:val="20"/>
                                      <w:szCs w:val="20"/>
                                    </w:rPr>
                                    <w:t>). 1999. Tymczasowe wytyczne: Kontrola drobnoustrojów podczas produkcji gotowego do spożycia mięsa i produktów drobiowych, Kontrola występowania patogenów drobnoustrojowych.</w:t>
                                  </w:r>
                                </w:p>
                                <w:p w14:paraId="7D5AC535" w14:textId="77777777" w:rsidR="002F0761" w:rsidRPr="002F0761" w:rsidRDefault="002F0761" w:rsidP="002F0761">
                                  <w:pPr>
                                    <w:pStyle w:val="Inne0"/>
                                    <w:spacing w:after="220"/>
                                    <w:rPr>
                                      <w:sz w:val="20"/>
                                      <w:szCs w:val="20"/>
                                    </w:rPr>
                                  </w:pPr>
                                  <w:r w:rsidRPr="002F0761">
                                    <w:rPr>
                                      <w:sz w:val="20"/>
                                      <w:szCs w:val="20"/>
                                    </w:rPr>
                                    <w:t xml:space="preserve">Arkusz informacyjny dotyczący oceny projektu sanitarnego </w:t>
                                  </w:r>
                                  <w:hyperlink r:id="rId86" w:history="1">
                                    <w:r w:rsidRPr="002F0761">
                                      <w:rPr>
                                        <w:color w:val="0000FF"/>
                                        <w:sz w:val="20"/>
                                        <w:szCs w:val="20"/>
                                        <w:u w:val="single"/>
                                      </w:rPr>
                                      <w:t>http://www.sanitarydesign.org/pdf/Sanitary D</w:t>
                                    </w:r>
                                  </w:hyperlink>
                                  <w:r w:rsidRPr="002F0761">
                                    <w:rPr>
                                      <w:color w:val="0000FF"/>
                                      <w:sz w:val="20"/>
                                      <w:szCs w:val="20"/>
                                      <w:u w:val="single"/>
                                    </w:rPr>
                                    <w:t xml:space="preserve"> </w:t>
                                  </w:r>
                                  <w:hyperlink r:id="rId87" w:history="1">
                                    <w:r w:rsidRPr="002F0761">
                                      <w:rPr>
                                        <w:color w:val="0000FF"/>
                                        <w:sz w:val="20"/>
                                        <w:szCs w:val="20"/>
                                        <w:u w:val="single"/>
                                      </w:rPr>
                                      <w:t>esign Fact Sheet.pdf</w:t>
                                    </w:r>
                                    <w:r w:rsidRPr="002F0761">
                                      <w:rPr>
                                        <w:sz w:val="20"/>
                                        <w:szCs w:val="20"/>
                                      </w:rPr>
                                      <w:t>.</w:t>
                                    </w:r>
                                  </w:hyperlink>
                                </w:p>
                                <w:p w14:paraId="1E4C8BAD" w14:textId="77777777" w:rsidR="002F0761" w:rsidRPr="002F0761" w:rsidRDefault="002F0761" w:rsidP="002F0761">
                                  <w:pPr>
                                    <w:pStyle w:val="Inne0"/>
                                    <w:spacing w:after="220"/>
                                    <w:rPr>
                                      <w:sz w:val="20"/>
                                      <w:szCs w:val="20"/>
                                    </w:rPr>
                                  </w:pPr>
                                  <w:r w:rsidRPr="002F0761">
                                    <w:rPr>
                                      <w:sz w:val="20"/>
                                      <w:szCs w:val="20"/>
                                    </w:rPr>
                                    <w:t>Tompkin, R.B. 2004. Pobieranie próbek środowiskowych - narzędzie do weryfikacji skuteczności zapobiegawczych środków higieny (</w:t>
                                  </w:r>
                                  <w:r w:rsidRPr="002F0761">
                                    <w:rPr>
                                      <w:i/>
                                      <w:iCs/>
                                      <w:sz w:val="20"/>
                                      <w:szCs w:val="20"/>
                                    </w:rPr>
                                    <w:t>Environmental Sampling - A tool to verify the effectiveness of preventative hygiene measures</w:t>
                                  </w:r>
                                  <w:r w:rsidRPr="002F0761">
                                    <w:rPr>
                                      <w:sz w:val="20"/>
                                      <w:szCs w:val="20"/>
                                    </w:rPr>
                                    <w:t xml:space="preserve">). </w:t>
                                  </w:r>
                                  <w:r w:rsidRPr="002F0761">
                                    <w:rPr>
                                      <w:i/>
                                      <w:sz w:val="20"/>
                                      <w:szCs w:val="20"/>
                                    </w:rPr>
                                    <w:t>Mitt Lebens Hyg</w:t>
                                  </w:r>
                                  <w:r w:rsidRPr="002F0761">
                                    <w:rPr>
                                      <w:sz w:val="20"/>
                                      <w:szCs w:val="20"/>
                                    </w:rPr>
                                    <w:t>. 95-45-51</w:t>
                                  </w:r>
                                </w:p>
                                <w:p w14:paraId="7997246A" w14:textId="77777777" w:rsidR="002F0761" w:rsidRPr="002F0761" w:rsidRDefault="002F0761" w:rsidP="002F0761">
                                  <w:pPr>
                                    <w:pStyle w:val="Inne0"/>
                                    <w:spacing w:after="220"/>
                                    <w:rPr>
                                      <w:sz w:val="20"/>
                                      <w:szCs w:val="20"/>
                                    </w:rPr>
                                  </w:pPr>
                                  <w:r w:rsidRPr="002F0761">
                                    <w:rPr>
                                      <w:sz w:val="20"/>
                                      <w:szCs w:val="20"/>
                                    </w:rPr>
                                    <w:t xml:space="preserve">Tompkin, R.B. 2002. Kontrola występowania </w:t>
                                  </w:r>
                                  <w:r w:rsidRPr="002F0761">
                                    <w:rPr>
                                      <w:i/>
                                      <w:sz w:val="20"/>
                                      <w:szCs w:val="20"/>
                                    </w:rPr>
                                    <w:t>Listeria monocytogenes</w:t>
                                  </w:r>
                                  <w:r w:rsidRPr="002F0761">
                                    <w:rPr>
                                      <w:sz w:val="20"/>
                                      <w:szCs w:val="20"/>
                                    </w:rPr>
                                    <w:t xml:space="preserve"> w miejscu przetwarzania żywności (</w:t>
                                  </w:r>
                                  <w:r w:rsidRPr="002F0761">
                                    <w:rPr>
                                      <w:i/>
                                      <w:iCs/>
                                      <w:sz w:val="20"/>
                                      <w:szCs w:val="20"/>
                                    </w:rPr>
                                    <w:t>Control of Listeria monocytogenes in the food processing environment</w:t>
                                  </w:r>
                                  <w:r w:rsidRPr="002F0761">
                                    <w:rPr>
                                      <w:sz w:val="20"/>
                                      <w:szCs w:val="20"/>
                                    </w:rPr>
                                    <w:t xml:space="preserve">). </w:t>
                                  </w:r>
                                  <w:r w:rsidRPr="002F0761">
                                    <w:rPr>
                                      <w:i/>
                                      <w:sz w:val="20"/>
                                      <w:szCs w:val="20"/>
                                    </w:rPr>
                                    <w:t>J Food Prot</w:t>
                                  </w:r>
                                  <w:r w:rsidRPr="002F0761">
                                    <w:rPr>
                                      <w:sz w:val="20"/>
                                      <w:szCs w:val="20"/>
                                    </w:rPr>
                                    <w:t>. 65: 709-725.</w:t>
                                  </w:r>
                                </w:p>
                                <w:p w14:paraId="365CFC08" w14:textId="77777777" w:rsidR="002F0761" w:rsidRPr="002F0761" w:rsidRDefault="002F0761" w:rsidP="002F0761">
                                  <w:pPr>
                                    <w:pStyle w:val="Inne0"/>
                                    <w:spacing w:after="0"/>
                                    <w:rPr>
                                      <w:sz w:val="20"/>
                                      <w:szCs w:val="20"/>
                                    </w:rPr>
                                  </w:pPr>
                                  <w:r w:rsidRPr="002F0761">
                                    <w:rPr>
                                      <w:sz w:val="20"/>
                                      <w:szCs w:val="20"/>
                                    </w:rPr>
                                    <w:t>FSIS. 2012. Wytyczne dotyczące zwalczania bakterii Listeria monocytogenes w gotowych do spożycia produktach mięsnych i drobiowych narażonych na kontakt ze śmiertelnymi drobnoustrojami</w:t>
                                  </w:r>
                                </w:p>
                                <w:p w14:paraId="283D8CC2" w14:textId="77777777" w:rsidR="002F0761" w:rsidRPr="002F0761" w:rsidRDefault="002F0761" w:rsidP="002F0761">
                                  <w:pPr>
                                    <w:pStyle w:val="Inne0"/>
                                    <w:spacing w:after="0"/>
                                    <w:rPr>
                                      <w:sz w:val="20"/>
                                      <w:szCs w:val="20"/>
                                      <w:lang w:val="it-IT"/>
                                    </w:rPr>
                                  </w:pPr>
                                  <w:hyperlink r:id="rId88" w:history="1">
                                    <w:r w:rsidRPr="002F0761">
                                      <w:rPr>
                                        <w:sz w:val="20"/>
                                        <w:szCs w:val="20"/>
                                        <w:lang w:val="it-IT"/>
                                      </w:rPr>
                                      <w:t>http://www.fsis.usda.gov/wps/wcm/connect/</w:t>
                                    </w:r>
                                  </w:hyperlink>
                                  <w:r w:rsidRPr="002F0761">
                                    <w:rPr>
                                      <w:sz w:val="20"/>
                                      <w:szCs w:val="20"/>
                                      <w:lang w:val="it-IT"/>
                                    </w:rPr>
                                    <w:t xml:space="preserve"> d3373299-50e6-47d6-a577- e74a1e549fde/Controlling_LM_RTE_guidel ine_0912.pdf?MOD=AJPERES.</w:t>
                                  </w:r>
                                </w:p>
                              </w:tc>
                              <w:tc>
                                <w:tcPr>
                                  <w:tcW w:w="909" w:type="pct"/>
                                  <w:tcBorders>
                                    <w:top w:val="single" w:sz="4" w:space="0" w:color="auto"/>
                                    <w:left w:val="single" w:sz="4" w:space="0" w:color="auto"/>
                                  </w:tcBorders>
                                  <w:shd w:val="clear" w:color="auto" w:fill="auto"/>
                                </w:tcPr>
                                <w:p w14:paraId="5C4DBDC0" w14:textId="77777777" w:rsidR="002F0761" w:rsidRPr="002F0761" w:rsidRDefault="002F0761" w:rsidP="002F0761">
                                  <w:pPr>
                                    <w:pStyle w:val="Inne0"/>
                                    <w:spacing w:after="220"/>
                                    <w:rPr>
                                      <w:sz w:val="20"/>
                                      <w:szCs w:val="20"/>
                                    </w:rPr>
                                  </w:pPr>
                                  <w:r w:rsidRPr="002F0761">
                                    <w:rPr>
                                      <w:sz w:val="20"/>
                                      <w:szCs w:val="20"/>
                                    </w:rPr>
                                    <w:t>Rejestry w zakładzie przez okres 90 dni mapujące wyniki wymazów z powierzchni mających kontakt z żywnością dla Listeria spp. zebranych w różnych datach przetwarzania oraz w różnych godzinach i miejscach przez okres 90 dni w celu potencjalnego znalezienia trudnych do kontroli obszarów w zakładzie i wsparcia bieżącej weryfikacji częstotliwości testów po okresie wstępnej walidacji*.</w:t>
                                  </w:r>
                                </w:p>
                                <w:p w14:paraId="2D754F56" w14:textId="77777777" w:rsidR="002F0761" w:rsidRPr="002F0761" w:rsidRDefault="002F0761" w:rsidP="002F0761">
                                  <w:pPr>
                                    <w:pStyle w:val="Inne0"/>
                                    <w:spacing w:after="220"/>
                                    <w:rPr>
                                      <w:sz w:val="20"/>
                                      <w:szCs w:val="20"/>
                                    </w:rPr>
                                  </w:pPr>
                                  <w:r w:rsidRPr="002F0761">
                                    <w:rPr>
                                      <w:sz w:val="20"/>
                                      <w:szCs w:val="20"/>
                                    </w:rPr>
                                    <w:t>Ocena projektu sanitarnego sprzętu w warunkach po uśmierceniu przy użyciu arkusza roboczego AMI Sanitary Equipment Design i zmiany w programie kontroli Listeria w oparciu o ocenę.</w:t>
                                  </w:r>
                                </w:p>
                                <w:p w14:paraId="08714EE4" w14:textId="77777777" w:rsidR="002F0761" w:rsidRPr="002F0761" w:rsidRDefault="002F0761" w:rsidP="002F0761">
                                  <w:pPr>
                                    <w:pStyle w:val="Inne0"/>
                                    <w:spacing w:after="220"/>
                                    <w:rPr>
                                      <w:sz w:val="20"/>
                                      <w:szCs w:val="20"/>
                                    </w:rPr>
                                  </w:pPr>
                                  <w:r w:rsidRPr="002F0761">
                                    <w:rPr>
                                      <w:sz w:val="20"/>
                                      <w:szCs w:val="20"/>
                                    </w:rPr>
                                    <w:t>Identyfikacja wszelkich możliwych powierzchni mających kontakt z żywnością.</w:t>
                                  </w:r>
                                </w:p>
                              </w:tc>
                            </w:tr>
                          </w:tbl>
                          <w:p w14:paraId="6735CDDF" w14:textId="77777777" w:rsidR="002F0761" w:rsidRPr="009301DF" w:rsidRDefault="002F0761" w:rsidP="002F0761">
                            <w:pPr>
                              <w:pStyle w:val="Inne0"/>
                              <w:spacing w:after="0"/>
                              <w:rPr>
                                <w:sz w:val="20"/>
                                <w:szCs w:val="20"/>
                              </w:rPr>
                            </w:pPr>
                            <w:r w:rsidRPr="009301DF">
                              <w:rPr>
                                <w:sz w:val="20"/>
                              </w:rPr>
                              <w:t>*UWAGA:</w:t>
                            </w:r>
                            <w:r w:rsidRPr="009301DF">
                              <w:rPr>
                                <w:b/>
                                <w:sz w:val="20"/>
                              </w:rPr>
                              <w:t xml:space="preserve"> </w:t>
                            </w:r>
                            <w:r w:rsidRPr="009301DF">
                              <w:rPr>
                                <w:sz w:val="20"/>
                              </w:rPr>
                              <w:t>Zakłady mogą również pobierać próbki wymazów środowiskowych w różnych dniach przetwarzania i w różnym czasie podczas 90-dniowego okresu wstępnej walidacji, aby potencjalnie znaleźć trudne do kontroli obszary i nisze w zakładzie.</w:t>
                            </w:r>
                          </w:p>
                          <w:p w14:paraId="1C2D81D0" w14:textId="77777777" w:rsidR="002F0761" w:rsidRDefault="002F0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B2A01" id="Pole tekstowe 4" o:spid="_x0000_s1029" type="#_x0000_t202" style="position:absolute;margin-left:35.55pt;margin-top:5.6pt;width:642.25pt;height:58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" fillcolor="white [3201]" stroked="f" strokeweight=".5pt">
                <v:textbox>
                  <w:txbxContent>
                    <w:tbl>
                      <w:tblPr>
                        <w:tblOverlap w:val="never"/>
                        <w:tblW w:w="4834" w:type="pct"/>
                        <w:tblCellMar>
                          <w:left w:w="10" w:type="dxa"/>
                          <w:right w:w="10" w:type="dxa"/>
                        </w:tblCellMar>
                        <w:tblLook w:val="04A0" w:firstRow="1" w:lastRow="0" w:firstColumn="1" w:lastColumn="0" w:noHBand="0" w:noVBand="1"/>
                      </w:tblPr>
                      <w:tblGrid>
                        <w:gridCol w:w="1291"/>
                        <w:gridCol w:w="1489"/>
                        <w:gridCol w:w="1069"/>
                        <w:gridCol w:w="1455"/>
                        <w:gridCol w:w="4632"/>
                        <w:gridCol w:w="2208"/>
                      </w:tblGrid>
                      <w:tr w:rsidR="002F0761" w:rsidRPr="002F0761" w14:paraId="18B4CB39" w14:textId="77777777" w:rsidTr="002F0761">
                        <w:trPr>
                          <w:trHeight w:hRule="exact" w:val="689"/>
                        </w:trPr>
                        <w:tc>
                          <w:tcPr>
                            <w:tcW w:w="5000" w:type="pct"/>
                            <w:gridSpan w:val="6"/>
                            <w:shd w:val="clear" w:color="auto" w:fill="auto"/>
                          </w:tcPr>
                          <w:p w14:paraId="6A81FF3E" w14:textId="77777777" w:rsidR="002F0761" w:rsidRPr="002F0761" w:rsidRDefault="002F0761" w:rsidP="002F0761">
                            <w:pPr>
                              <w:pStyle w:val="Inne0"/>
                              <w:spacing w:after="0"/>
                              <w:rPr>
                                <w:sz w:val="22"/>
                                <w:szCs w:val="22"/>
                              </w:rPr>
                            </w:pPr>
                            <w:r w:rsidRPr="002F0761">
                              <w:rPr>
                                <w:sz w:val="22"/>
                                <w:szCs w:val="22"/>
                              </w:rPr>
                              <w:t>Wyłącznie do celów ilustracyjnych</w:t>
                            </w:r>
                          </w:p>
                        </w:tc>
                      </w:tr>
                      <w:tr w:rsidR="002F0761" w:rsidRPr="002F0761" w14:paraId="720C7786" w14:textId="77777777" w:rsidTr="002F0761">
                        <w:trPr>
                          <w:trHeight w:hRule="exact" w:val="452"/>
                        </w:trPr>
                        <w:tc>
                          <w:tcPr>
                            <w:tcW w:w="532" w:type="pct"/>
                            <w:vMerge w:val="restart"/>
                            <w:tcBorders>
                              <w:top w:val="single" w:sz="4" w:space="0" w:color="auto"/>
                              <w:left w:val="single" w:sz="4" w:space="0" w:color="auto"/>
                            </w:tcBorders>
                            <w:shd w:val="clear" w:color="auto" w:fill="auto"/>
                          </w:tcPr>
                          <w:p w14:paraId="6AE50BCB" w14:textId="77777777" w:rsidR="002F0761" w:rsidRPr="002F0761" w:rsidRDefault="002F0761" w:rsidP="002F0761">
                            <w:pPr>
                              <w:pStyle w:val="Inne0"/>
                              <w:spacing w:after="0"/>
                              <w:rPr>
                                <w:sz w:val="20"/>
                                <w:szCs w:val="20"/>
                              </w:rPr>
                            </w:pPr>
                            <w:r w:rsidRPr="002F0761">
                              <w:rPr>
                                <w:sz w:val="20"/>
                                <w:szCs w:val="20"/>
                              </w:rPr>
                              <w:t>Produkt</w:t>
                            </w:r>
                          </w:p>
                        </w:tc>
                        <w:tc>
                          <w:tcPr>
                            <w:tcW w:w="613" w:type="pct"/>
                            <w:vMerge w:val="restart"/>
                            <w:tcBorders>
                              <w:top w:val="single" w:sz="4" w:space="0" w:color="auto"/>
                              <w:left w:val="single" w:sz="4" w:space="0" w:color="auto"/>
                            </w:tcBorders>
                            <w:shd w:val="clear" w:color="auto" w:fill="auto"/>
                          </w:tcPr>
                          <w:p w14:paraId="70024C86" w14:textId="77777777" w:rsidR="002F0761" w:rsidRPr="002F0761" w:rsidRDefault="002F0761" w:rsidP="002F0761">
                            <w:pPr>
                              <w:pStyle w:val="Inne0"/>
                              <w:spacing w:after="0"/>
                              <w:rPr>
                                <w:sz w:val="20"/>
                                <w:szCs w:val="20"/>
                              </w:rPr>
                            </w:pPr>
                            <w:r w:rsidRPr="002F0761">
                              <w:rPr>
                                <w:sz w:val="20"/>
                                <w:szCs w:val="20"/>
                              </w:rPr>
                              <w:t>Zagrożenie:</w:t>
                            </w:r>
                          </w:p>
                        </w:tc>
                        <w:tc>
                          <w:tcPr>
                            <w:tcW w:w="440" w:type="pct"/>
                            <w:vMerge w:val="restart"/>
                            <w:tcBorders>
                              <w:top w:val="single" w:sz="4" w:space="0" w:color="auto"/>
                              <w:left w:val="single" w:sz="4" w:space="0" w:color="auto"/>
                            </w:tcBorders>
                            <w:shd w:val="clear" w:color="auto" w:fill="auto"/>
                          </w:tcPr>
                          <w:p w14:paraId="233EB288" w14:textId="77777777" w:rsidR="002F0761" w:rsidRPr="002F0761" w:rsidRDefault="002F0761" w:rsidP="002F0761">
                            <w:pPr>
                              <w:pStyle w:val="Inne0"/>
                              <w:spacing w:after="0"/>
                              <w:rPr>
                                <w:sz w:val="20"/>
                                <w:szCs w:val="20"/>
                              </w:rPr>
                            </w:pPr>
                            <w:r w:rsidRPr="002F0761">
                              <w:rPr>
                                <w:sz w:val="20"/>
                                <w:szCs w:val="20"/>
                              </w:rPr>
                              <w:t>Proces</w:t>
                            </w:r>
                          </w:p>
                        </w:tc>
                        <w:tc>
                          <w:tcPr>
                            <w:tcW w:w="599" w:type="pct"/>
                            <w:vMerge w:val="restart"/>
                            <w:tcBorders>
                              <w:top w:val="single" w:sz="4" w:space="0" w:color="auto"/>
                              <w:left w:val="single" w:sz="4" w:space="0" w:color="auto"/>
                            </w:tcBorders>
                            <w:shd w:val="clear" w:color="auto" w:fill="auto"/>
                          </w:tcPr>
                          <w:p w14:paraId="3753DD01" w14:textId="77777777" w:rsidR="002F0761" w:rsidRPr="002F0761" w:rsidRDefault="002F0761" w:rsidP="002F0761">
                            <w:pPr>
                              <w:pStyle w:val="Inne0"/>
                              <w:spacing w:after="0"/>
                              <w:rPr>
                                <w:sz w:val="20"/>
                                <w:szCs w:val="20"/>
                              </w:rPr>
                            </w:pPr>
                            <w:r w:rsidRPr="002F0761">
                              <w:rPr>
                                <w:sz w:val="20"/>
                                <w:szCs w:val="20"/>
                              </w:rPr>
                              <w:t>Krytyczne parametry operacyjne</w:t>
                            </w:r>
                          </w:p>
                        </w:tc>
                        <w:tc>
                          <w:tcPr>
                            <w:tcW w:w="2816" w:type="pct"/>
                            <w:gridSpan w:val="2"/>
                            <w:tcBorders>
                              <w:top w:val="single" w:sz="4" w:space="0" w:color="auto"/>
                              <w:left w:val="single" w:sz="4" w:space="0" w:color="auto"/>
                            </w:tcBorders>
                            <w:shd w:val="clear" w:color="auto" w:fill="auto"/>
                          </w:tcPr>
                          <w:p w14:paraId="275241C9" w14:textId="77777777" w:rsidR="002F0761" w:rsidRPr="002F0761" w:rsidRDefault="002F0761" w:rsidP="002F0761">
                            <w:pPr>
                              <w:pStyle w:val="Inne0"/>
                              <w:spacing w:after="0"/>
                              <w:rPr>
                                <w:sz w:val="20"/>
                                <w:szCs w:val="20"/>
                              </w:rPr>
                            </w:pPr>
                            <w:r w:rsidRPr="002F0761">
                              <w:rPr>
                                <w:sz w:val="20"/>
                                <w:szCs w:val="20"/>
                              </w:rPr>
                              <w:t>Potwierdzenie</w:t>
                            </w:r>
                          </w:p>
                        </w:tc>
                      </w:tr>
                      <w:tr w:rsidR="002F0761" w:rsidRPr="002F0761" w14:paraId="0DF901B7" w14:textId="77777777" w:rsidTr="002F0761">
                        <w:trPr>
                          <w:trHeight w:hRule="exact" w:val="647"/>
                        </w:trPr>
                        <w:tc>
                          <w:tcPr>
                            <w:tcW w:w="532" w:type="pct"/>
                            <w:vMerge/>
                            <w:tcBorders>
                              <w:left w:val="single" w:sz="4" w:space="0" w:color="auto"/>
                            </w:tcBorders>
                            <w:shd w:val="clear" w:color="auto" w:fill="auto"/>
                          </w:tcPr>
                          <w:p w14:paraId="6352458A" w14:textId="77777777" w:rsidR="002F0761" w:rsidRPr="002F0761" w:rsidRDefault="002F0761" w:rsidP="002F0761">
                            <w:pPr>
                              <w:rPr>
                                <w:sz w:val="20"/>
                                <w:szCs w:val="20"/>
                              </w:rPr>
                            </w:pPr>
                          </w:p>
                        </w:tc>
                        <w:tc>
                          <w:tcPr>
                            <w:tcW w:w="613" w:type="pct"/>
                            <w:vMerge/>
                            <w:tcBorders>
                              <w:left w:val="single" w:sz="4" w:space="0" w:color="auto"/>
                            </w:tcBorders>
                            <w:shd w:val="clear" w:color="auto" w:fill="auto"/>
                          </w:tcPr>
                          <w:p w14:paraId="6642B4B1" w14:textId="77777777" w:rsidR="002F0761" w:rsidRPr="002F0761" w:rsidRDefault="002F0761" w:rsidP="002F0761">
                            <w:pPr>
                              <w:rPr>
                                <w:sz w:val="20"/>
                                <w:szCs w:val="20"/>
                              </w:rPr>
                            </w:pPr>
                          </w:p>
                        </w:tc>
                        <w:tc>
                          <w:tcPr>
                            <w:tcW w:w="440" w:type="pct"/>
                            <w:vMerge/>
                            <w:tcBorders>
                              <w:left w:val="single" w:sz="4" w:space="0" w:color="auto"/>
                            </w:tcBorders>
                            <w:shd w:val="clear" w:color="auto" w:fill="auto"/>
                          </w:tcPr>
                          <w:p w14:paraId="281AEA48" w14:textId="77777777" w:rsidR="002F0761" w:rsidRPr="002F0761" w:rsidRDefault="002F0761" w:rsidP="002F0761">
                            <w:pPr>
                              <w:rPr>
                                <w:sz w:val="20"/>
                                <w:szCs w:val="20"/>
                              </w:rPr>
                            </w:pPr>
                          </w:p>
                        </w:tc>
                        <w:tc>
                          <w:tcPr>
                            <w:tcW w:w="599" w:type="pct"/>
                            <w:vMerge/>
                            <w:tcBorders>
                              <w:left w:val="single" w:sz="4" w:space="0" w:color="auto"/>
                            </w:tcBorders>
                            <w:shd w:val="clear" w:color="auto" w:fill="auto"/>
                          </w:tcPr>
                          <w:p w14:paraId="2B9A88ED" w14:textId="77777777" w:rsidR="002F0761" w:rsidRPr="002F0761" w:rsidRDefault="002F0761" w:rsidP="002F0761">
                            <w:pPr>
                              <w:rPr>
                                <w:sz w:val="20"/>
                                <w:szCs w:val="20"/>
                              </w:rPr>
                            </w:pPr>
                          </w:p>
                        </w:tc>
                        <w:tc>
                          <w:tcPr>
                            <w:tcW w:w="1907" w:type="pct"/>
                            <w:tcBorders>
                              <w:top w:val="single" w:sz="4" w:space="0" w:color="auto"/>
                              <w:left w:val="single" w:sz="4" w:space="0" w:color="auto"/>
                            </w:tcBorders>
                            <w:shd w:val="clear" w:color="auto" w:fill="auto"/>
                          </w:tcPr>
                          <w:p w14:paraId="6283AB7C" w14:textId="77777777" w:rsidR="002F0761" w:rsidRPr="002F0761" w:rsidRDefault="002F0761" w:rsidP="002F0761">
                            <w:pPr>
                              <w:pStyle w:val="Inne0"/>
                              <w:spacing w:after="0"/>
                              <w:rPr>
                                <w:sz w:val="20"/>
                                <w:szCs w:val="20"/>
                              </w:rPr>
                            </w:pPr>
                            <w:r w:rsidRPr="002F0761">
                              <w:rPr>
                                <w:sz w:val="20"/>
                                <w:szCs w:val="20"/>
                              </w:rPr>
                              <w:t>Wsparcie naukowe lub techniczne</w:t>
                            </w:r>
                          </w:p>
                        </w:tc>
                        <w:tc>
                          <w:tcPr>
                            <w:tcW w:w="909" w:type="pct"/>
                            <w:tcBorders>
                              <w:top w:val="single" w:sz="4" w:space="0" w:color="auto"/>
                              <w:left w:val="single" w:sz="4" w:space="0" w:color="auto"/>
                            </w:tcBorders>
                            <w:shd w:val="clear" w:color="auto" w:fill="auto"/>
                          </w:tcPr>
                          <w:p w14:paraId="7056A782" w14:textId="77777777" w:rsidR="002F0761" w:rsidRPr="002F0761" w:rsidRDefault="002F0761" w:rsidP="002F0761">
                            <w:pPr>
                              <w:pStyle w:val="Inne0"/>
                              <w:spacing w:after="0"/>
                              <w:rPr>
                                <w:sz w:val="20"/>
                                <w:szCs w:val="20"/>
                              </w:rPr>
                            </w:pPr>
                            <w:r w:rsidRPr="002F0761">
                              <w:rPr>
                                <w:sz w:val="20"/>
                                <w:szCs w:val="20"/>
                              </w:rPr>
                              <w:t>Wewnątrzzakładowe dane walidacyjne</w:t>
                            </w:r>
                          </w:p>
                        </w:tc>
                      </w:tr>
                      <w:tr w:rsidR="002F0761" w:rsidRPr="002F0761" w14:paraId="6B76D0CC" w14:textId="77777777" w:rsidTr="002F0761">
                        <w:trPr>
                          <w:trHeight w:hRule="exact" w:val="8824"/>
                        </w:trPr>
                        <w:tc>
                          <w:tcPr>
                            <w:tcW w:w="532" w:type="pct"/>
                            <w:tcBorders>
                              <w:top w:val="single" w:sz="4" w:space="0" w:color="auto"/>
                              <w:left w:val="single" w:sz="4" w:space="0" w:color="auto"/>
                            </w:tcBorders>
                            <w:shd w:val="clear" w:color="auto" w:fill="auto"/>
                          </w:tcPr>
                          <w:p w14:paraId="24C37E62" w14:textId="77777777" w:rsidR="002F0761" w:rsidRPr="002F0761" w:rsidRDefault="002F0761" w:rsidP="002F0761">
                            <w:pPr>
                              <w:pStyle w:val="Inne0"/>
                              <w:spacing w:after="0"/>
                              <w:rPr>
                                <w:sz w:val="20"/>
                                <w:szCs w:val="20"/>
                              </w:rPr>
                            </w:pPr>
                            <w:r w:rsidRPr="002F0761">
                              <w:rPr>
                                <w:sz w:val="20"/>
                                <w:szCs w:val="20"/>
                              </w:rPr>
                              <w:t>Mięso poubojowe gotowe do spożycia i narażone na działanie czynników zewnętrznych</w:t>
                            </w:r>
                          </w:p>
                        </w:tc>
                        <w:tc>
                          <w:tcPr>
                            <w:tcW w:w="613" w:type="pct"/>
                            <w:tcBorders>
                              <w:top w:val="single" w:sz="4" w:space="0" w:color="auto"/>
                              <w:left w:val="single" w:sz="4" w:space="0" w:color="auto"/>
                            </w:tcBorders>
                            <w:shd w:val="clear" w:color="auto" w:fill="auto"/>
                          </w:tcPr>
                          <w:p w14:paraId="7AD43237" w14:textId="77777777" w:rsidR="002F0761" w:rsidRPr="002F0761" w:rsidRDefault="002F0761" w:rsidP="002F0761">
                            <w:pPr>
                              <w:pStyle w:val="Inne0"/>
                              <w:spacing w:after="0"/>
                              <w:rPr>
                                <w:sz w:val="20"/>
                                <w:szCs w:val="20"/>
                              </w:rPr>
                            </w:pPr>
                            <w:r w:rsidRPr="002F0761">
                              <w:rPr>
                                <w:sz w:val="20"/>
                                <w:szCs w:val="20"/>
                              </w:rPr>
                              <w:t xml:space="preserve">Biologiczne - </w:t>
                            </w:r>
                            <w:r w:rsidRPr="002F0761">
                              <w:rPr>
                                <w:i/>
                                <w:sz w:val="20"/>
                                <w:szCs w:val="20"/>
                              </w:rPr>
                              <w:t>Listeria monocytogenes</w:t>
                            </w:r>
                          </w:p>
                        </w:tc>
                        <w:tc>
                          <w:tcPr>
                            <w:tcW w:w="440" w:type="pct"/>
                            <w:tcBorders>
                              <w:top w:val="single" w:sz="4" w:space="0" w:color="auto"/>
                              <w:left w:val="single" w:sz="4" w:space="0" w:color="auto"/>
                            </w:tcBorders>
                            <w:shd w:val="clear" w:color="auto" w:fill="auto"/>
                          </w:tcPr>
                          <w:p w14:paraId="39976629" w14:textId="77777777" w:rsidR="002F0761" w:rsidRPr="002F0761" w:rsidRDefault="002F0761" w:rsidP="002F0761">
                            <w:pPr>
                              <w:pStyle w:val="Inne0"/>
                              <w:spacing w:after="0"/>
                              <w:rPr>
                                <w:sz w:val="20"/>
                                <w:szCs w:val="20"/>
                              </w:rPr>
                            </w:pPr>
                            <w:r w:rsidRPr="002F0761">
                              <w:rPr>
                                <w:sz w:val="20"/>
                                <w:szCs w:val="20"/>
                              </w:rPr>
                              <w:t>Program warunków wstępnych - SSOP</w:t>
                            </w:r>
                          </w:p>
                        </w:tc>
                        <w:tc>
                          <w:tcPr>
                            <w:tcW w:w="599" w:type="pct"/>
                            <w:tcBorders>
                              <w:top w:val="single" w:sz="4" w:space="0" w:color="auto"/>
                              <w:left w:val="single" w:sz="4" w:space="0" w:color="auto"/>
                            </w:tcBorders>
                            <w:shd w:val="clear" w:color="auto" w:fill="auto"/>
                          </w:tcPr>
                          <w:p w14:paraId="0037083E" w14:textId="77777777" w:rsidR="002F0761" w:rsidRPr="002F0761" w:rsidRDefault="002F0761" w:rsidP="002F0761">
                            <w:pPr>
                              <w:pStyle w:val="Inne0"/>
                              <w:spacing w:after="220"/>
                              <w:rPr>
                                <w:sz w:val="20"/>
                                <w:szCs w:val="20"/>
                              </w:rPr>
                            </w:pPr>
                            <w:r w:rsidRPr="002F0761">
                              <w:rPr>
                                <w:sz w:val="20"/>
                                <w:szCs w:val="20"/>
                              </w:rPr>
                              <w:t xml:space="preserve">Program kontroli bakterii </w:t>
                            </w:r>
                            <w:r w:rsidRPr="002F0761">
                              <w:rPr>
                                <w:i/>
                                <w:sz w:val="20"/>
                                <w:szCs w:val="20"/>
                              </w:rPr>
                              <w:t xml:space="preserve">Listeria </w:t>
                            </w:r>
                            <w:r w:rsidRPr="002F0761">
                              <w:rPr>
                                <w:sz w:val="20"/>
                                <w:szCs w:val="20"/>
                              </w:rPr>
                              <w:t>na powierzchniach mających kontakt z żywnością.</w:t>
                            </w:r>
                          </w:p>
                          <w:p w14:paraId="5A43E1BA" w14:textId="77777777" w:rsidR="002F0761" w:rsidRPr="002F0761" w:rsidRDefault="002F0761" w:rsidP="002F0761">
                            <w:pPr>
                              <w:pStyle w:val="Inne0"/>
                              <w:spacing w:after="220"/>
                              <w:rPr>
                                <w:sz w:val="20"/>
                                <w:szCs w:val="20"/>
                              </w:rPr>
                            </w:pPr>
                            <w:r w:rsidRPr="002F0761">
                              <w:rPr>
                                <w:sz w:val="20"/>
                                <w:szCs w:val="20"/>
                              </w:rPr>
                              <w:t>Projekt sanitarny sprzętu i koncepcja strefy sanitarnej.</w:t>
                            </w:r>
                          </w:p>
                          <w:p w14:paraId="7937870B" w14:textId="77777777" w:rsidR="002F0761" w:rsidRPr="002F0761" w:rsidRDefault="002F0761" w:rsidP="002F0761">
                            <w:pPr>
                              <w:pStyle w:val="Inne0"/>
                              <w:spacing w:after="220"/>
                              <w:rPr>
                                <w:sz w:val="20"/>
                                <w:szCs w:val="20"/>
                              </w:rPr>
                            </w:pPr>
                            <w:r w:rsidRPr="002F0761">
                              <w:rPr>
                                <w:sz w:val="20"/>
                                <w:szCs w:val="20"/>
                              </w:rPr>
                              <w:t>Częstotliwość pobierania próbek i liczba próbek, które należy pobrać na linię produkcyjną.</w:t>
                            </w:r>
                          </w:p>
                        </w:tc>
                        <w:tc>
                          <w:tcPr>
                            <w:tcW w:w="1907" w:type="pct"/>
                            <w:tcBorders>
                              <w:top w:val="single" w:sz="4" w:space="0" w:color="auto"/>
                              <w:left w:val="single" w:sz="4" w:space="0" w:color="auto"/>
                            </w:tcBorders>
                            <w:shd w:val="clear" w:color="auto" w:fill="auto"/>
                          </w:tcPr>
                          <w:p w14:paraId="62449D7E" w14:textId="77777777" w:rsidR="002F0761" w:rsidRPr="002F0761" w:rsidRDefault="002F0761" w:rsidP="002F0761">
                            <w:pPr>
                              <w:pStyle w:val="Inne0"/>
                              <w:spacing w:after="220"/>
                              <w:rPr>
                                <w:sz w:val="20"/>
                                <w:szCs w:val="20"/>
                              </w:rPr>
                            </w:pPr>
                            <w:r w:rsidRPr="002F0761">
                              <w:rPr>
                                <w:sz w:val="20"/>
                                <w:szCs w:val="20"/>
                              </w:rPr>
                              <w:t>Joint Industry Task Force on Control of Microbial Pathogens in Ready-to-Eat Meat and Poultry Products (</w:t>
                            </w:r>
                            <w:r w:rsidRPr="002F0761">
                              <w:rPr>
                                <w:i/>
                                <w:iCs/>
                                <w:sz w:val="20"/>
                                <w:szCs w:val="20"/>
                              </w:rPr>
                              <w:t>Wspólna branżowa grupa zadaniowa ds. kontroli patogenów mikrobiologicznych w gotowych do spożycia produktach mięsnych i drobiowych</w:t>
                            </w:r>
                            <w:r w:rsidRPr="002F0761">
                              <w:rPr>
                                <w:sz w:val="20"/>
                                <w:szCs w:val="20"/>
                              </w:rPr>
                              <w:t>). 1999. Tymczasowe wytyczne: Kontrola drobnoustrojów podczas produkcji gotowego do spożycia mięsa i produktów drobiowych, Kontrola występowania patogenów drobnoustrojowych.</w:t>
                            </w:r>
                          </w:p>
                          <w:p w14:paraId="7D5AC535" w14:textId="77777777" w:rsidR="002F0761" w:rsidRPr="002F0761" w:rsidRDefault="002F0761" w:rsidP="002F0761">
                            <w:pPr>
                              <w:pStyle w:val="Inne0"/>
                              <w:spacing w:after="220"/>
                              <w:rPr>
                                <w:sz w:val="20"/>
                                <w:szCs w:val="20"/>
                              </w:rPr>
                            </w:pPr>
                            <w:r w:rsidRPr="002F0761">
                              <w:rPr>
                                <w:sz w:val="20"/>
                                <w:szCs w:val="20"/>
                              </w:rPr>
                              <w:t xml:space="preserve">Arkusz informacyjny dotyczący oceny projektu sanitarnego </w:t>
                            </w:r>
                            <w:hyperlink r:id="rId89" w:history="1">
                              <w:r w:rsidRPr="002F0761">
                                <w:rPr>
                                  <w:color w:val="0000FF"/>
                                  <w:sz w:val="20"/>
                                  <w:szCs w:val="20"/>
                                  <w:u w:val="single"/>
                                </w:rPr>
                                <w:t>http://www.sanitarydesign.org/pdf/Sanitary D</w:t>
                              </w:r>
                            </w:hyperlink>
                            <w:r w:rsidRPr="002F0761">
                              <w:rPr>
                                <w:color w:val="0000FF"/>
                                <w:sz w:val="20"/>
                                <w:szCs w:val="20"/>
                                <w:u w:val="single"/>
                              </w:rPr>
                              <w:t xml:space="preserve"> </w:t>
                            </w:r>
                            <w:hyperlink r:id="rId90" w:history="1">
                              <w:r w:rsidRPr="002F0761">
                                <w:rPr>
                                  <w:color w:val="0000FF"/>
                                  <w:sz w:val="20"/>
                                  <w:szCs w:val="20"/>
                                  <w:u w:val="single"/>
                                </w:rPr>
                                <w:t>esign Fact Sheet.pdf</w:t>
                              </w:r>
                              <w:r w:rsidRPr="002F0761">
                                <w:rPr>
                                  <w:sz w:val="20"/>
                                  <w:szCs w:val="20"/>
                                </w:rPr>
                                <w:t>.</w:t>
                              </w:r>
                            </w:hyperlink>
                          </w:p>
                          <w:p w14:paraId="1E4C8BAD" w14:textId="77777777" w:rsidR="002F0761" w:rsidRPr="002F0761" w:rsidRDefault="002F0761" w:rsidP="002F0761">
                            <w:pPr>
                              <w:pStyle w:val="Inne0"/>
                              <w:spacing w:after="220"/>
                              <w:rPr>
                                <w:sz w:val="20"/>
                                <w:szCs w:val="20"/>
                              </w:rPr>
                            </w:pPr>
                            <w:r w:rsidRPr="002F0761">
                              <w:rPr>
                                <w:sz w:val="20"/>
                                <w:szCs w:val="20"/>
                              </w:rPr>
                              <w:t>Tompkin, R.B. 2004. Pobieranie próbek środowiskowych - narzędzie do weryfikacji skuteczności zapobiegawczych środków higieny (</w:t>
                            </w:r>
                            <w:r w:rsidRPr="002F0761">
                              <w:rPr>
                                <w:i/>
                                <w:iCs/>
                                <w:sz w:val="20"/>
                                <w:szCs w:val="20"/>
                              </w:rPr>
                              <w:t>Environmental Sampling - A tool to verify the effectiveness of preventative hygiene measures</w:t>
                            </w:r>
                            <w:r w:rsidRPr="002F0761">
                              <w:rPr>
                                <w:sz w:val="20"/>
                                <w:szCs w:val="20"/>
                              </w:rPr>
                              <w:t xml:space="preserve">). </w:t>
                            </w:r>
                            <w:r w:rsidRPr="002F0761">
                              <w:rPr>
                                <w:i/>
                                <w:sz w:val="20"/>
                                <w:szCs w:val="20"/>
                              </w:rPr>
                              <w:t>Mitt Lebens Hyg</w:t>
                            </w:r>
                            <w:r w:rsidRPr="002F0761">
                              <w:rPr>
                                <w:sz w:val="20"/>
                                <w:szCs w:val="20"/>
                              </w:rPr>
                              <w:t>. 95-45-51</w:t>
                            </w:r>
                          </w:p>
                          <w:p w14:paraId="7997246A" w14:textId="77777777" w:rsidR="002F0761" w:rsidRPr="002F0761" w:rsidRDefault="002F0761" w:rsidP="002F0761">
                            <w:pPr>
                              <w:pStyle w:val="Inne0"/>
                              <w:spacing w:after="220"/>
                              <w:rPr>
                                <w:sz w:val="20"/>
                                <w:szCs w:val="20"/>
                              </w:rPr>
                            </w:pPr>
                            <w:r w:rsidRPr="002F0761">
                              <w:rPr>
                                <w:sz w:val="20"/>
                                <w:szCs w:val="20"/>
                              </w:rPr>
                              <w:t xml:space="preserve">Tompkin, R.B. 2002. Kontrola występowania </w:t>
                            </w:r>
                            <w:r w:rsidRPr="002F0761">
                              <w:rPr>
                                <w:i/>
                                <w:sz w:val="20"/>
                                <w:szCs w:val="20"/>
                              </w:rPr>
                              <w:t>Listeria monocytogenes</w:t>
                            </w:r>
                            <w:r w:rsidRPr="002F0761">
                              <w:rPr>
                                <w:sz w:val="20"/>
                                <w:szCs w:val="20"/>
                              </w:rPr>
                              <w:t xml:space="preserve"> w miejscu przetwarzania żywności (</w:t>
                            </w:r>
                            <w:r w:rsidRPr="002F0761">
                              <w:rPr>
                                <w:i/>
                                <w:iCs/>
                                <w:sz w:val="20"/>
                                <w:szCs w:val="20"/>
                              </w:rPr>
                              <w:t>Control of Listeria monocytogenes in the food processing environment</w:t>
                            </w:r>
                            <w:r w:rsidRPr="002F0761">
                              <w:rPr>
                                <w:sz w:val="20"/>
                                <w:szCs w:val="20"/>
                              </w:rPr>
                              <w:t xml:space="preserve">). </w:t>
                            </w:r>
                            <w:r w:rsidRPr="002F0761">
                              <w:rPr>
                                <w:i/>
                                <w:sz w:val="20"/>
                                <w:szCs w:val="20"/>
                              </w:rPr>
                              <w:t>J Food Prot</w:t>
                            </w:r>
                            <w:r w:rsidRPr="002F0761">
                              <w:rPr>
                                <w:sz w:val="20"/>
                                <w:szCs w:val="20"/>
                              </w:rPr>
                              <w:t>. 65: 709-725.</w:t>
                            </w:r>
                          </w:p>
                          <w:p w14:paraId="365CFC08" w14:textId="77777777" w:rsidR="002F0761" w:rsidRPr="002F0761" w:rsidRDefault="002F0761" w:rsidP="002F0761">
                            <w:pPr>
                              <w:pStyle w:val="Inne0"/>
                              <w:spacing w:after="0"/>
                              <w:rPr>
                                <w:sz w:val="20"/>
                                <w:szCs w:val="20"/>
                              </w:rPr>
                            </w:pPr>
                            <w:r w:rsidRPr="002F0761">
                              <w:rPr>
                                <w:sz w:val="20"/>
                                <w:szCs w:val="20"/>
                              </w:rPr>
                              <w:t>FSIS. 2012. Wytyczne dotyczące zwalczania bakterii Listeria monocytogenes w gotowych do spożycia produktach mięsnych i drobiowych narażonych na kontakt ze śmiertelnymi drobnoustrojami</w:t>
                            </w:r>
                          </w:p>
                          <w:p w14:paraId="283D8CC2" w14:textId="77777777" w:rsidR="002F0761" w:rsidRPr="002F0761" w:rsidRDefault="002F0761" w:rsidP="002F0761">
                            <w:pPr>
                              <w:pStyle w:val="Inne0"/>
                              <w:spacing w:after="0"/>
                              <w:rPr>
                                <w:sz w:val="20"/>
                                <w:szCs w:val="20"/>
                                <w:lang w:val="it-IT"/>
                              </w:rPr>
                            </w:pPr>
                            <w:hyperlink r:id="rId91" w:history="1">
                              <w:r w:rsidRPr="002F0761">
                                <w:rPr>
                                  <w:sz w:val="20"/>
                                  <w:szCs w:val="20"/>
                                  <w:lang w:val="it-IT"/>
                                </w:rPr>
                                <w:t>http://www.fsis.usda.gov/wps/wcm/connect/</w:t>
                              </w:r>
                            </w:hyperlink>
                            <w:r w:rsidRPr="002F0761">
                              <w:rPr>
                                <w:sz w:val="20"/>
                                <w:szCs w:val="20"/>
                                <w:lang w:val="it-IT"/>
                              </w:rPr>
                              <w:t xml:space="preserve"> d3373299-50e6-47d6-a577- e74a1e549fde/Controlling_LM_RTE_guidel ine_0912.pdf?MOD=AJPERES.</w:t>
                            </w:r>
                          </w:p>
                        </w:tc>
                        <w:tc>
                          <w:tcPr>
                            <w:tcW w:w="909" w:type="pct"/>
                            <w:tcBorders>
                              <w:top w:val="single" w:sz="4" w:space="0" w:color="auto"/>
                              <w:left w:val="single" w:sz="4" w:space="0" w:color="auto"/>
                            </w:tcBorders>
                            <w:shd w:val="clear" w:color="auto" w:fill="auto"/>
                          </w:tcPr>
                          <w:p w14:paraId="5C4DBDC0" w14:textId="77777777" w:rsidR="002F0761" w:rsidRPr="002F0761" w:rsidRDefault="002F0761" w:rsidP="002F0761">
                            <w:pPr>
                              <w:pStyle w:val="Inne0"/>
                              <w:spacing w:after="220"/>
                              <w:rPr>
                                <w:sz w:val="20"/>
                                <w:szCs w:val="20"/>
                              </w:rPr>
                            </w:pPr>
                            <w:r w:rsidRPr="002F0761">
                              <w:rPr>
                                <w:sz w:val="20"/>
                                <w:szCs w:val="20"/>
                              </w:rPr>
                              <w:t>Rejestry w zakładzie przez okres 90 dni mapujące wyniki wymazów z powierzchni mających kontakt z żywnością dla Listeria spp. zebranych w różnych datach przetwarzania oraz w różnych godzinach i miejscach przez okres 90 dni w celu potencjalnego znalezienia trudnych do kontroli obszarów w zakładzie i wsparcia bieżącej weryfikacji częstotliwości testów po okresie wstępnej walidacji*.</w:t>
                            </w:r>
                          </w:p>
                          <w:p w14:paraId="2D754F56" w14:textId="77777777" w:rsidR="002F0761" w:rsidRPr="002F0761" w:rsidRDefault="002F0761" w:rsidP="002F0761">
                            <w:pPr>
                              <w:pStyle w:val="Inne0"/>
                              <w:spacing w:after="220"/>
                              <w:rPr>
                                <w:sz w:val="20"/>
                                <w:szCs w:val="20"/>
                              </w:rPr>
                            </w:pPr>
                            <w:r w:rsidRPr="002F0761">
                              <w:rPr>
                                <w:sz w:val="20"/>
                                <w:szCs w:val="20"/>
                              </w:rPr>
                              <w:t>Ocena projektu sanitarnego sprzętu w warunkach po uśmierceniu przy użyciu arkusza roboczego AMI Sanitary Equipment Design i zmiany w programie kontroli Listeria w oparciu o ocenę.</w:t>
                            </w:r>
                          </w:p>
                          <w:p w14:paraId="08714EE4" w14:textId="77777777" w:rsidR="002F0761" w:rsidRPr="002F0761" w:rsidRDefault="002F0761" w:rsidP="002F0761">
                            <w:pPr>
                              <w:pStyle w:val="Inne0"/>
                              <w:spacing w:after="220"/>
                              <w:rPr>
                                <w:sz w:val="20"/>
                                <w:szCs w:val="20"/>
                              </w:rPr>
                            </w:pPr>
                            <w:r w:rsidRPr="002F0761">
                              <w:rPr>
                                <w:sz w:val="20"/>
                                <w:szCs w:val="20"/>
                              </w:rPr>
                              <w:t>Identyfikacja wszelkich możliwych powierzchni mających kontakt z żywnością.</w:t>
                            </w:r>
                          </w:p>
                        </w:tc>
                      </w:tr>
                    </w:tbl>
                    <w:p w14:paraId="6735CDDF" w14:textId="77777777" w:rsidR="002F0761" w:rsidRPr="009301DF" w:rsidRDefault="002F0761" w:rsidP="002F0761">
                      <w:pPr>
                        <w:pStyle w:val="Inne0"/>
                        <w:spacing w:after="0"/>
                        <w:rPr>
                          <w:sz w:val="20"/>
                          <w:szCs w:val="20"/>
                        </w:rPr>
                      </w:pPr>
                      <w:r w:rsidRPr="009301DF">
                        <w:rPr>
                          <w:sz w:val="20"/>
                        </w:rPr>
                        <w:t>*UWAGA:</w:t>
                      </w:r>
                      <w:r w:rsidRPr="009301DF">
                        <w:rPr>
                          <w:b/>
                          <w:sz w:val="20"/>
                        </w:rPr>
                        <w:t xml:space="preserve"> </w:t>
                      </w:r>
                      <w:r w:rsidRPr="009301DF">
                        <w:rPr>
                          <w:sz w:val="20"/>
                        </w:rPr>
                        <w:t>Zakłady mogą również pobierać próbki wymazów środowiskowych w różnych dniach przetwarzania i w różnym czasie podczas 90-dniowego okresu wstępnej walidacji, aby potencjalnie znaleźć trudne do kontroli obszary i nisze w zakładzie.</w:t>
                      </w:r>
                    </w:p>
                    <w:p w14:paraId="1C2D81D0" w14:textId="77777777" w:rsidR="002F0761" w:rsidRDefault="002F0761"/>
                  </w:txbxContent>
                </v:textbox>
              </v:shape>
            </w:pict>
          </mc:Fallback>
        </mc:AlternateContent>
      </w:r>
    </w:p>
    <w:p w14:paraId="72541385"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1E7DD572"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366"/>
        <w:gridCol w:w="1625"/>
        <w:gridCol w:w="1671"/>
        <w:gridCol w:w="1647"/>
        <w:gridCol w:w="3969"/>
        <w:gridCol w:w="2807"/>
      </w:tblGrid>
      <w:tr w:rsidR="00632C48" w:rsidRPr="009301DF" w14:paraId="263EB927" w14:textId="77777777" w:rsidTr="002F0761">
        <w:trPr>
          <w:trHeight w:hRule="exact" w:val="680"/>
        </w:trPr>
        <w:tc>
          <w:tcPr>
            <w:tcW w:w="5000" w:type="pct"/>
            <w:gridSpan w:val="6"/>
            <w:shd w:val="clear" w:color="auto" w:fill="auto"/>
          </w:tcPr>
          <w:p w14:paraId="5C724144" w14:textId="77777777" w:rsidR="00632C48" w:rsidRPr="009301DF" w:rsidRDefault="005F6F63" w:rsidP="002F0761">
            <w:pPr>
              <w:pStyle w:val="Inne0"/>
              <w:framePr w:w="13085" w:h="6480" w:wrap="none" w:vAnchor="page" w:hAnchor="page" w:x="731" w:y="735"/>
              <w:spacing w:after="0"/>
              <w:ind w:hanging="12"/>
            </w:pPr>
            <w:r w:rsidRPr="009301DF">
              <w:t>Wyłącznie do celów ilustracyjnych</w:t>
            </w:r>
          </w:p>
        </w:tc>
      </w:tr>
      <w:tr w:rsidR="00632C48" w:rsidRPr="009301DF" w14:paraId="1B55B91F" w14:textId="77777777" w:rsidTr="002F0761">
        <w:trPr>
          <w:trHeight w:hRule="exact" w:val="785"/>
        </w:trPr>
        <w:tc>
          <w:tcPr>
            <w:tcW w:w="422" w:type="pct"/>
            <w:vMerge w:val="restart"/>
            <w:tcBorders>
              <w:top w:val="single" w:sz="4" w:space="0" w:color="auto"/>
              <w:left w:val="single" w:sz="4" w:space="0" w:color="auto"/>
            </w:tcBorders>
            <w:shd w:val="clear" w:color="auto" w:fill="auto"/>
          </w:tcPr>
          <w:p w14:paraId="4F51D2C7"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Produkt</w:t>
            </w:r>
          </w:p>
        </w:tc>
        <w:tc>
          <w:tcPr>
            <w:tcW w:w="688" w:type="pct"/>
            <w:vMerge w:val="restart"/>
            <w:tcBorders>
              <w:top w:val="single" w:sz="4" w:space="0" w:color="auto"/>
              <w:left w:val="single" w:sz="4" w:space="0" w:color="auto"/>
            </w:tcBorders>
            <w:shd w:val="clear" w:color="auto" w:fill="auto"/>
          </w:tcPr>
          <w:p w14:paraId="110FEC52"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Zagrożenie:</w:t>
            </w:r>
          </w:p>
        </w:tc>
        <w:tc>
          <w:tcPr>
            <w:tcW w:w="585" w:type="pct"/>
            <w:vMerge w:val="restart"/>
            <w:tcBorders>
              <w:top w:val="single" w:sz="4" w:space="0" w:color="auto"/>
              <w:left w:val="single" w:sz="4" w:space="0" w:color="auto"/>
            </w:tcBorders>
            <w:shd w:val="clear" w:color="auto" w:fill="auto"/>
          </w:tcPr>
          <w:p w14:paraId="2AE9B8F7"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Proces</w:t>
            </w:r>
          </w:p>
        </w:tc>
        <w:tc>
          <w:tcPr>
            <w:tcW w:w="583" w:type="pct"/>
            <w:vMerge w:val="restart"/>
            <w:tcBorders>
              <w:top w:val="single" w:sz="4" w:space="0" w:color="auto"/>
              <w:left w:val="single" w:sz="4" w:space="0" w:color="auto"/>
            </w:tcBorders>
            <w:shd w:val="clear" w:color="auto" w:fill="auto"/>
          </w:tcPr>
          <w:p w14:paraId="6369B7E4"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Krytyczne parametry operacyjne</w:t>
            </w:r>
          </w:p>
        </w:tc>
        <w:tc>
          <w:tcPr>
            <w:tcW w:w="2723" w:type="pct"/>
            <w:gridSpan w:val="2"/>
            <w:tcBorders>
              <w:top w:val="single" w:sz="4" w:space="0" w:color="auto"/>
              <w:left w:val="single" w:sz="4" w:space="0" w:color="auto"/>
              <w:right w:val="single" w:sz="4" w:space="0" w:color="auto"/>
            </w:tcBorders>
            <w:shd w:val="clear" w:color="auto" w:fill="auto"/>
          </w:tcPr>
          <w:p w14:paraId="69C08FB3"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Potwierdzenie</w:t>
            </w:r>
          </w:p>
        </w:tc>
      </w:tr>
      <w:tr w:rsidR="00632C48" w:rsidRPr="009301DF" w14:paraId="50EE6FB4" w14:textId="77777777" w:rsidTr="002F0761">
        <w:trPr>
          <w:trHeight w:hRule="exact" w:val="891"/>
        </w:trPr>
        <w:tc>
          <w:tcPr>
            <w:tcW w:w="422" w:type="pct"/>
            <w:vMerge/>
            <w:tcBorders>
              <w:left w:val="single" w:sz="4" w:space="0" w:color="auto"/>
            </w:tcBorders>
            <w:shd w:val="clear" w:color="auto" w:fill="auto"/>
          </w:tcPr>
          <w:p w14:paraId="42AB8DBD" w14:textId="77777777" w:rsidR="00632C48" w:rsidRPr="009301DF" w:rsidRDefault="00632C48" w:rsidP="005F6F63">
            <w:pPr>
              <w:framePr w:w="13085" w:h="6480" w:wrap="none" w:vAnchor="page" w:hAnchor="page" w:x="731" w:y="735"/>
            </w:pPr>
          </w:p>
        </w:tc>
        <w:tc>
          <w:tcPr>
            <w:tcW w:w="688" w:type="pct"/>
            <w:vMerge/>
            <w:tcBorders>
              <w:left w:val="single" w:sz="4" w:space="0" w:color="auto"/>
            </w:tcBorders>
            <w:shd w:val="clear" w:color="auto" w:fill="auto"/>
          </w:tcPr>
          <w:p w14:paraId="4A695D55" w14:textId="77777777" w:rsidR="00632C48" w:rsidRPr="009301DF" w:rsidRDefault="00632C48" w:rsidP="005F6F63">
            <w:pPr>
              <w:framePr w:w="13085" w:h="6480" w:wrap="none" w:vAnchor="page" w:hAnchor="page" w:x="731" w:y="735"/>
            </w:pPr>
          </w:p>
        </w:tc>
        <w:tc>
          <w:tcPr>
            <w:tcW w:w="585" w:type="pct"/>
            <w:vMerge/>
            <w:tcBorders>
              <w:left w:val="single" w:sz="4" w:space="0" w:color="auto"/>
            </w:tcBorders>
            <w:shd w:val="clear" w:color="auto" w:fill="auto"/>
          </w:tcPr>
          <w:p w14:paraId="472E5F45" w14:textId="77777777" w:rsidR="00632C48" w:rsidRPr="009301DF" w:rsidRDefault="00632C48" w:rsidP="005F6F63">
            <w:pPr>
              <w:framePr w:w="13085" w:h="6480" w:wrap="none" w:vAnchor="page" w:hAnchor="page" w:x="731" w:y="735"/>
            </w:pPr>
          </w:p>
        </w:tc>
        <w:tc>
          <w:tcPr>
            <w:tcW w:w="583" w:type="pct"/>
            <w:vMerge/>
            <w:tcBorders>
              <w:left w:val="single" w:sz="4" w:space="0" w:color="auto"/>
            </w:tcBorders>
            <w:shd w:val="clear" w:color="auto" w:fill="auto"/>
          </w:tcPr>
          <w:p w14:paraId="5909A84A" w14:textId="77777777" w:rsidR="00632C48" w:rsidRPr="009301DF" w:rsidRDefault="00632C48" w:rsidP="005F6F63">
            <w:pPr>
              <w:framePr w:w="13085" w:h="6480" w:wrap="none" w:vAnchor="page" w:hAnchor="page" w:x="731" w:y="735"/>
            </w:pPr>
          </w:p>
        </w:tc>
        <w:tc>
          <w:tcPr>
            <w:tcW w:w="1583" w:type="pct"/>
            <w:tcBorders>
              <w:top w:val="single" w:sz="4" w:space="0" w:color="auto"/>
              <w:left w:val="single" w:sz="4" w:space="0" w:color="auto"/>
            </w:tcBorders>
            <w:shd w:val="clear" w:color="auto" w:fill="auto"/>
          </w:tcPr>
          <w:p w14:paraId="628A10FF"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Wsparcie naukowe lub techniczne</w:t>
            </w:r>
          </w:p>
        </w:tc>
        <w:tc>
          <w:tcPr>
            <w:tcW w:w="1140" w:type="pct"/>
            <w:tcBorders>
              <w:top w:val="single" w:sz="4" w:space="0" w:color="auto"/>
              <w:left w:val="single" w:sz="4" w:space="0" w:color="auto"/>
              <w:right w:val="single" w:sz="4" w:space="0" w:color="auto"/>
            </w:tcBorders>
            <w:shd w:val="clear" w:color="auto" w:fill="auto"/>
          </w:tcPr>
          <w:p w14:paraId="65BAF8FA"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Wewnątrzzakładowe dane walidacyjne</w:t>
            </w:r>
          </w:p>
        </w:tc>
      </w:tr>
      <w:tr w:rsidR="00632C48" w:rsidRPr="009301DF" w14:paraId="541988DC" w14:textId="77777777" w:rsidTr="002F0761">
        <w:trPr>
          <w:trHeight w:hRule="exact" w:val="4763"/>
        </w:trPr>
        <w:tc>
          <w:tcPr>
            <w:tcW w:w="422" w:type="pct"/>
            <w:tcBorders>
              <w:top w:val="single" w:sz="4" w:space="0" w:color="auto"/>
              <w:left w:val="single" w:sz="4" w:space="0" w:color="auto"/>
              <w:bottom w:val="single" w:sz="4" w:space="0" w:color="auto"/>
            </w:tcBorders>
            <w:shd w:val="clear" w:color="auto" w:fill="auto"/>
          </w:tcPr>
          <w:p w14:paraId="664020E8"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Mięso poubojowe gotowe do spożycia i narażone na działanie czynników zewnętrznych</w:t>
            </w:r>
          </w:p>
        </w:tc>
        <w:tc>
          <w:tcPr>
            <w:tcW w:w="688" w:type="pct"/>
            <w:tcBorders>
              <w:top w:val="single" w:sz="4" w:space="0" w:color="auto"/>
              <w:left w:val="single" w:sz="4" w:space="0" w:color="auto"/>
              <w:bottom w:val="single" w:sz="4" w:space="0" w:color="auto"/>
            </w:tcBorders>
            <w:shd w:val="clear" w:color="auto" w:fill="auto"/>
          </w:tcPr>
          <w:p w14:paraId="11E9C1F7" w14:textId="2F8CE6AF" w:rsidR="00632C48" w:rsidRPr="009301DF" w:rsidRDefault="005F6F63" w:rsidP="005F6F63">
            <w:pPr>
              <w:pStyle w:val="Inne0"/>
              <w:framePr w:w="13085" w:h="6480" w:wrap="none" w:vAnchor="page" w:hAnchor="page" w:x="731" w:y="735"/>
              <w:spacing w:after="0"/>
              <w:rPr>
                <w:sz w:val="22"/>
                <w:szCs w:val="22"/>
              </w:rPr>
            </w:pPr>
            <w:r w:rsidRPr="009301DF">
              <w:rPr>
                <w:sz w:val="22"/>
              </w:rPr>
              <w:t xml:space="preserve">Biologiczne - </w:t>
            </w:r>
            <w:r w:rsidRPr="009301DF">
              <w:rPr>
                <w:i/>
                <w:sz w:val="22"/>
              </w:rPr>
              <w:t>Listeria monocytogenes</w:t>
            </w:r>
          </w:p>
        </w:tc>
        <w:tc>
          <w:tcPr>
            <w:tcW w:w="585" w:type="pct"/>
            <w:tcBorders>
              <w:top w:val="single" w:sz="4" w:space="0" w:color="auto"/>
              <w:left w:val="single" w:sz="4" w:space="0" w:color="auto"/>
              <w:bottom w:val="single" w:sz="4" w:space="0" w:color="auto"/>
            </w:tcBorders>
            <w:shd w:val="clear" w:color="auto" w:fill="auto"/>
          </w:tcPr>
          <w:p w14:paraId="4FC2D45B"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Przechowywanie - czas i temperatura GMP (</w:t>
            </w:r>
            <w:r w:rsidRPr="009301DF">
              <w:rPr>
                <w:i/>
                <w:iCs/>
                <w:sz w:val="22"/>
              </w:rPr>
              <w:t>GMP - Good Manufacturing Practice - dobra praktyka produkcyjna</w:t>
            </w:r>
            <w:r w:rsidRPr="009301DF">
              <w:rPr>
                <w:sz w:val="22"/>
              </w:rPr>
              <w:t>)</w:t>
            </w:r>
          </w:p>
        </w:tc>
        <w:tc>
          <w:tcPr>
            <w:tcW w:w="583" w:type="pct"/>
            <w:tcBorders>
              <w:top w:val="single" w:sz="4" w:space="0" w:color="auto"/>
              <w:left w:val="single" w:sz="4" w:space="0" w:color="auto"/>
              <w:bottom w:val="single" w:sz="4" w:space="0" w:color="auto"/>
            </w:tcBorders>
            <w:shd w:val="clear" w:color="auto" w:fill="auto"/>
          </w:tcPr>
          <w:p w14:paraId="005986AC" w14:textId="77777777" w:rsidR="00632C48" w:rsidRPr="009301DF" w:rsidRDefault="005F6F63" w:rsidP="005F6F63">
            <w:pPr>
              <w:pStyle w:val="Inne0"/>
              <w:framePr w:w="13085" w:h="6480" w:wrap="none" w:vAnchor="page" w:hAnchor="page" w:x="731" w:y="735"/>
              <w:rPr>
                <w:sz w:val="22"/>
                <w:szCs w:val="22"/>
              </w:rPr>
            </w:pPr>
            <w:r w:rsidRPr="009301DF">
              <w:rPr>
                <w:sz w:val="22"/>
              </w:rPr>
              <w:t>Temperatura przechowywania &lt; 50°F.</w:t>
            </w:r>
          </w:p>
          <w:p w14:paraId="05901F46"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Produkt pozostaje w magazynie &lt; 24 godzin.</w:t>
            </w:r>
          </w:p>
        </w:tc>
        <w:tc>
          <w:tcPr>
            <w:tcW w:w="1583" w:type="pct"/>
            <w:tcBorders>
              <w:top w:val="single" w:sz="4" w:space="0" w:color="auto"/>
              <w:left w:val="single" w:sz="4" w:space="0" w:color="auto"/>
              <w:bottom w:val="single" w:sz="4" w:space="0" w:color="auto"/>
            </w:tcBorders>
            <w:shd w:val="clear" w:color="auto" w:fill="auto"/>
          </w:tcPr>
          <w:p w14:paraId="050C690C" w14:textId="77777777" w:rsidR="00632C48" w:rsidRPr="00540146" w:rsidRDefault="005F6F63" w:rsidP="005F6F63">
            <w:pPr>
              <w:pStyle w:val="Inne0"/>
              <w:framePr w:w="13085" w:h="6480" w:wrap="none" w:vAnchor="page" w:hAnchor="page" w:x="731" w:y="735"/>
              <w:spacing w:after="0"/>
              <w:rPr>
                <w:sz w:val="22"/>
                <w:szCs w:val="22"/>
                <w:lang w:val="en-US"/>
              </w:rPr>
            </w:pPr>
            <w:r w:rsidRPr="00540146">
              <w:rPr>
                <w:sz w:val="22"/>
                <w:lang w:val="en-US"/>
              </w:rPr>
              <w:t>Tompkin Paper. Tabela 2.</w:t>
            </w:r>
          </w:p>
          <w:p w14:paraId="48269E14" w14:textId="77777777" w:rsidR="00632C48" w:rsidRPr="00540146" w:rsidRDefault="005F6F63" w:rsidP="005F6F63">
            <w:pPr>
              <w:pStyle w:val="Inne0"/>
              <w:framePr w:w="13085" w:h="6480" w:wrap="none" w:vAnchor="page" w:hAnchor="page" w:x="731" w:y="735"/>
              <w:spacing w:after="0"/>
              <w:rPr>
                <w:sz w:val="22"/>
                <w:szCs w:val="22"/>
                <w:lang w:val="en-US"/>
              </w:rPr>
            </w:pPr>
            <w:hyperlink r:id="rId92" w:history="1">
              <w:r w:rsidRPr="00540146">
                <w:rPr>
                  <w:sz w:val="22"/>
                  <w:u w:val="single"/>
                  <w:lang w:val="en-US"/>
                </w:rPr>
                <w:t>http://www.meathaccp.wisc.edu/Model</w:t>
              </w:r>
            </w:hyperlink>
            <w:r w:rsidRPr="00540146">
              <w:rPr>
                <w:sz w:val="22"/>
                <w:u w:val="single"/>
                <w:lang w:val="en-US"/>
              </w:rPr>
              <w:t xml:space="preserve"> Haccp Plans/assets/raw ground/Tomp kinPaper.pdf</w:t>
            </w:r>
            <w:r w:rsidRPr="00540146">
              <w:rPr>
                <w:sz w:val="22"/>
                <w:lang w:val="en-US"/>
              </w:rPr>
              <w:t>.</w:t>
            </w:r>
          </w:p>
        </w:tc>
        <w:tc>
          <w:tcPr>
            <w:tcW w:w="1140" w:type="pct"/>
            <w:tcBorders>
              <w:top w:val="single" w:sz="4" w:space="0" w:color="auto"/>
              <w:left w:val="single" w:sz="4" w:space="0" w:color="auto"/>
              <w:bottom w:val="single" w:sz="4" w:space="0" w:color="auto"/>
              <w:right w:val="single" w:sz="4" w:space="0" w:color="auto"/>
            </w:tcBorders>
            <w:shd w:val="clear" w:color="auto" w:fill="auto"/>
          </w:tcPr>
          <w:p w14:paraId="0C8B3915" w14:textId="77777777" w:rsidR="00632C48" w:rsidRPr="009301DF" w:rsidRDefault="005F6F63" w:rsidP="005F6F63">
            <w:pPr>
              <w:pStyle w:val="Inne0"/>
              <w:framePr w:w="13085" w:h="6480" w:wrap="none" w:vAnchor="page" w:hAnchor="page" w:x="731" w:y="735"/>
              <w:spacing w:after="0"/>
              <w:rPr>
                <w:sz w:val="22"/>
                <w:szCs w:val="22"/>
              </w:rPr>
            </w:pPr>
            <w:r w:rsidRPr="009301DF">
              <w:rPr>
                <w:sz w:val="22"/>
              </w:rPr>
              <w:t>W dokumentacji zakładu za okres 90 dni wykazano, że temperatura otoczenia nie przekracza 50°F i że produkt nie jest przechowywany w tej temperaturze dłużej niż 24 godziny.</w:t>
            </w:r>
          </w:p>
        </w:tc>
      </w:tr>
    </w:tbl>
    <w:p w14:paraId="72A43C88"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21B31ABB" w14:textId="77777777" w:rsidR="00632C48" w:rsidRPr="009301DF" w:rsidRDefault="00632C48">
      <w:pPr>
        <w:spacing w:line="1" w:lineRule="exact"/>
      </w:pPr>
    </w:p>
    <w:tbl>
      <w:tblPr>
        <w:tblpPr w:leftFromText="141" w:rightFromText="141" w:vertAnchor="text" w:horzAnchor="margin" w:tblpY="-187"/>
        <w:tblOverlap w:val="never"/>
        <w:tblW w:w="14221" w:type="dxa"/>
        <w:tblLayout w:type="fixed"/>
        <w:tblCellMar>
          <w:left w:w="10" w:type="dxa"/>
          <w:right w:w="10" w:type="dxa"/>
        </w:tblCellMar>
        <w:tblLook w:val="04A0" w:firstRow="1" w:lastRow="0" w:firstColumn="1" w:lastColumn="0" w:noHBand="0" w:noVBand="1"/>
      </w:tblPr>
      <w:tblGrid>
        <w:gridCol w:w="1982"/>
        <w:gridCol w:w="1367"/>
        <w:gridCol w:w="1663"/>
        <w:gridCol w:w="1956"/>
        <w:gridCol w:w="4010"/>
        <w:gridCol w:w="3243"/>
      </w:tblGrid>
      <w:tr w:rsidR="007C1C8A" w:rsidRPr="009301DF" w14:paraId="7653F683" w14:textId="77777777" w:rsidTr="007C1C8A">
        <w:trPr>
          <w:trHeight w:hRule="exact" w:val="712"/>
        </w:trPr>
        <w:tc>
          <w:tcPr>
            <w:tcW w:w="14221" w:type="dxa"/>
            <w:gridSpan w:val="6"/>
            <w:shd w:val="clear" w:color="auto" w:fill="auto"/>
          </w:tcPr>
          <w:p w14:paraId="5B94CB9C" w14:textId="77777777" w:rsidR="007C1C8A" w:rsidRPr="009301DF" w:rsidRDefault="007C1C8A" w:rsidP="002F0761">
            <w:pPr>
              <w:pStyle w:val="Inne0"/>
              <w:spacing w:after="0"/>
            </w:pPr>
            <w:r w:rsidRPr="009301DF">
              <w:t>Wyłącznie do celów ilustracyjnych</w:t>
            </w:r>
          </w:p>
        </w:tc>
      </w:tr>
      <w:tr w:rsidR="007C1C8A" w:rsidRPr="009301DF" w14:paraId="4BD37E99" w14:textId="77777777" w:rsidTr="007C1C8A">
        <w:trPr>
          <w:trHeight w:hRule="exact" w:val="823"/>
        </w:trPr>
        <w:tc>
          <w:tcPr>
            <w:tcW w:w="1982" w:type="dxa"/>
            <w:vMerge w:val="restart"/>
            <w:tcBorders>
              <w:top w:val="single" w:sz="4" w:space="0" w:color="auto"/>
              <w:left w:val="single" w:sz="4" w:space="0" w:color="auto"/>
            </w:tcBorders>
            <w:shd w:val="clear" w:color="auto" w:fill="auto"/>
          </w:tcPr>
          <w:p w14:paraId="0E24ED70" w14:textId="77777777" w:rsidR="007C1C8A" w:rsidRPr="009301DF" w:rsidRDefault="007C1C8A" w:rsidP="007C1C8A">
            <w:pPr>
              <w:pStyle w:val="Inne0"/>
              <w:spacing w:after="0"/>
            </w:pPr>
            <w:r w:rsidRPr="009301DF">
              <w:t>Produkt</w:t>
            </w:r>
          </w:p>
        </w:tc>
        <w:tc>
          <w:tcPr>
            <w:tcW w:w="1367" w:type="dxa"/>
            <w:vMerge w:val="restart"/>
            <w:tcBorders>
              <w:top w:val="single" w:sz="4" w:space="0" w:color="auto"/>
              <w:left w:val="single" w:sz="4" w:space="0" w:color="auto"/>
            </w:tcBorders>
            <w:shd w:val="clear" w:color="auto" w:fill="auto"/>
          </w:tcPr>
          <w:p w14:paraId="39B5A041" w14:textId="77777777" w:rsidR="007C1C8A" w:rsidRPr="009301DF" w:rsidRDefault="007C1C8A" w:rsidP="007C1C8A">
            <w:pPr>
              <w:pStyle w:val="Inne0"/>
              <w:spacing w:after="0"/>
            </w:pPr>
            <w:r w:rsidRPr="009301DF">
              <w:t>Zagrożenie:</w:t>
            </w:r>
          </w:p>
        </w:tc>
        <w:tc>
          <w:tcPr>
            <w:tcW w:w="1663" w:type="dxa"/>
            <w:vMerge w:val="restart"/>
            <w:tcBorders>
              <w:top w:val="single" w:sz="4" w:space="0" w:color="auto"/>
              <w:left w:val="single" w:sz="4" w:space="0" w:color="auto"/>
            </w:tcBorders>
            <w:shd w:val="clear" w:color="auto" w:fill="auto"/>
          </w:tcPr>
          <w:p w14:paraId="07D1AACB" w14:textId="77777777" w:rsidR="007C1C8A" w:rsidRPr="009301DF" w:rsidRDefault="007C1C8A" w:rsidP="007C1C8A">
            <w:pPr>
              <w:pStyle w:val="Inne0"/>
              <w:spacing w:after="0"/>
            </w:pPr>
            <w:r w:rsidRPr="009301DF">
              <w:t>Proces</w:t>
            </w:r>
          </w:p>
        </w:tc>
        <w:tc>
          <w:tcPr>
            <w:tcW w:w="1956" w:type="dxa"/>
            <w:vMerge w:val="restart"/>
            <w:tcBorders>
              <w:top w:val="single" w:sz="4" w:space="0" w:color="auto"/>
              <w:left w:val="single" w:sz="4" w:space="0" w:color="auto"/>
            </w:tcBorders>
            <w:shd w:val="clear" w:color="auto" w:fill="auto"/>
          </w:tcPr>
          <w:p w14:paraId="1191E4AC" w14:textId="77777777" w:rsidR="007C1C8A" w:rsidRPr="009301DF" w:rsidRDefault="007C1C8A" w:rsidP="007C1C8A">
            <w:pPr>
              <w:pStyle w:val="Inne0"/>
              <w:spacing w:after="0"/>
            </w:pPr>
            <w:r w:rsidRPr="009301DF">
              <w:t>Krytyczne parametry operacyjne</w:t>
            </w:r>
          </w:p>
        </w:tc>
        <w:tc>
          <w:tcPr>
            <w:tcW w:w="7252" w:type="dxa"/>
            <w:gridSpan w:val="2"/>
            <w:tcBorders>
              <w:top w:val="single" w:sz="4" w:space="0" w:color="auto"/>
              <w:left w:val="single" w:sz="4" w:space="0" w:color="auto"/>
              <w:right w:val="single" w:sz="4" w:space="0" w:color="auto"/>
            </w:tcBorders>
            <w:shd w:val="clear" w:color="auto" w:fill="auto"/>
          </w:tcPr>
          <w:p w14:paraId="24FE536F" w14:textId="77777777" w:rsidR="007C1C8A" w:rsidRPr="009301DF" w:rsidRDefault="007C1C8A" w:rsidP="007C1C8A">
            <w:pPr>
              <w:pStyle w:val="Inne0"/>
              <w:spacing w:after="0"/>
            </w:pPr>
            <w:r w:rsidRPr="009301DF">
              <w:t>Potwierdzenie</w:t>
            </w:r>
          </w:p>
        </w:tc>
      </w:tr>
      <w:tr w:rsidR="007C1C8A" w:rsidRPr="009301DF" w14:paraId="1ACAA31F" w14:textId="77777777" w:rsidTr="007C1C8A">
        <w:trPr>
          <w:trHeight w:hRule="exact" w:val="933"/>
        </w:trPr>
        <w:tc>
          <w:tcPr>
            <w:tcW w:w="1982" w:type="dxa"/>
            <w:vMerge/>
            <w:tcBorders>
              <w:left w:val="single" w:sz="4" w:space="0" w:color="auto"/>
            </w:tcBorders>
            <w:shd w:val="clear" w:color="auto" w:fill="auto"/>
          </w:tcPr>
          <w:p w14:paraId="0BAC930B" w14:textId="77777777" w:rsidR="007C1C8A" w:rsidRPr="009301DF" w:rsidRDefault="007C1C8A" w:rsidP="007C1C8A"/>
        </w:tc>
        <w:tc>
          <w:tcPr>
            <w:tcW w:w="1367" w:type="dxa"/>
            <w:vMerge/>
            <w:tcBorders>
              <w:left w:val="single" w:sz="4" w:space="0" w:color="auto"/>
            </w:tcBorders>
            <w:shd w:val="clear" w:color="auto" w:fill="auto"/>
          </w:tcPr>
          <w:p w14:paraId="7691D034" w14:textId="77777777" w:rsidR="007C1C8A" w:rsidRPr="009301DF" w:rsidRDefault="007C1C8A" w:rsidP="007C1C8A"/>
        </w:tc>
        <w:tc>
          <w:tcPr>
            <w:tcW w:w="1663" w:type="dxa"/>
            <w:vMerge/>
            <w:tcBorders>
              <w:left w:val="single" w:sz="4" w:space="0" w:color="auto"/>
            </w:tcBorders>
            <w:shd w:val="clear" w:color="auto" w:fill="auto"/>
          </w:tcPr>
          <w:p w14:paraId="52ED5878" w14:textId="77777777" w:rsidR="007C1C8A" w:rsidRPr="009301DF" w:rsidRDefault="007C1C8A" w:rsidP="007C1C8A"/>
        </w:tc>
        <w:tc>
          <w:tcPr>
            <w:tcW w:w="1956" w:type="dxa"/>
            <w:vMerge/>
            <w:tcBorders>
              <w:left w:val="single" w:sz="4" w:space="0" w:color="auto"/>
            </w:tcBorders>
            <w:shd w:val="clear" w:color="auto" w:fill="auto"/>
          </w:tcPr>
          <w:p w14:paraId="7667DDEA" w14:textId="77777777" w:rsidR="007C1C8A" w:rsidRPr="009301DF" w:rsidRDefault="007C1C8A" w:rsidP="007C1C8A"/>
        </w:tc>
        <w:tc>
          <w:tcPr>
            <w:tcW w:w="4010" w:type="dxa"/>
            <w:tcBorders>
              <w:top w:val="single" w:sz="4" w:space="0" w:color="auto"/>
              <w:left w:val="single" w:sz="4" w:space="0" w:color="auto"/>
            </w:tcBorders>
            <w:shd w:val="clear" w:color="auto" w:fill="auto"/>
          </w:tcPr>
          <w:p w14:paraId="09B9508C" w14:textId="77777777" w:rsidR="007C1C8A" w:rsidRPr="009301DF" w:rsidRDefault="007C1C8A" w:rsidP="007C1C8A">
            <w:pPr>
              <w:pStyle w:val="Inne0"/>
              <w:spacing w:after="0"/>
              <w:rPr>
                <w:sz w:val="22"/>
                <w:szCs w:val="22"/>
              </w:rPr>
            </w:pPr>
            <w:r w:rsidRPr="009301DF">
              <w:rPr>
                <w:sz w:val="22"/>
              </w:rPr>
              <w:t>Wsparcie naukowe lub techniczne</w:t>
            </w:r>
          </w:p>
        </w:tc>
        <w:tc>
          <w:tcPr>
            <w:tcW w:w="3241" w:type="dxa"/>
            <w:tcBorders>
              <w:top w:val="single" w:sz="4" w:space="0" w:color="auto"/>
              <w:left w:val="single" w:sz="4" w:space="0" w:color="auto"/>
              <w:right w:val="single" w:sz="4" w:space="0" w:color="auto"/>
            </w:tcBorders>
            <w:shd w:val="clear" w:color="auto" w:fill="auto"/>
          </w:tcPr>
          <w:p w14:paraId="2553CC20" w14:textId="77777777" w:rsidR="007C1C8A" w:rsidRPr="009301DF" w:rsidRDefault="007C1C8A" w:rsidP="007C1C8A">
            <w:pPr>
              <w:pStyle w:val="Inne0"/>
              <w:spacing w:after="0"/>
              <w:rPr>
                <w:sz w:val="22"/>
                <w:szCs w:val="22"/>
              </w:rPr>
            </w:pPr>
            <w:r w:rsidRPr="009301DF">
              <w:rPr>
                <w:sz w:val="22"/>
              </w:rPr>
              <w:t>Wewnątrzzakładowe dane walidacyjne</w:t>
            </w:r>
          </w:p>
        </w:tc>
      </w:tr>
      <w:tr w:rsidR="007C1C8A" w:rsidRPr="009301DF" w14:paraId="1BF9F0BB" w14:textId="77777777" w:rsidTr="007C1C8A">
        <w:trPr>
          <w:trHeight w:hRule="exact" w:val="8928"/>
        </w:trPr>
        <w:tc>
          <w:tcPr>
            <w:tcW w:w="1982" w:type="dxa"/>
            <w:tcBorders>
              <w:top w:val="single" w:sz="4" w:space="0" w:color="auto"/>
              <w:left w:val="single" w:sz="4" w:space="0" w:color="auto"/>
              <w:bottom w:val="single" w:sz="4" w:space="0" w:color="auto"/>
            </w:tcBorders>
            <w:shd w:val="clear" w:color="auto" w:fill="auto"/>
          </w:tcPr>
          <w:p w14:paraId="6AE09847" w14:textId="77777777" w:rsidR="007C1C8A" w:rsidRPr="009301DF" w:rsidRDefault="007C1C8A" w:rsidP="007C1C8A">
            <w:pPr>
              <w:pStyle w:val="Inne0"/>
              <w:spacing w:after="0"/>
            </w:pPr>
            <w:r w:rsidRPr="009301DF">
              <w:t>Surowe produkty z wołowiny (np. tusze wołowe, obrzynki z produkcji wołowiny)</w:t>
            </w:r>
          </w:p>
        </w:tc>
        <w:tc>
          <w:tcPr>
            <w:tcW w:w="1367" w:type="dxa"/>
            <w:tcBorders>
              <w:top w:val="single" w:sz="4" w:space="0" w:color="auto"/>
              <w:left w:val="single" w:sz="4" w:space="0" w:color="auto"/>
              <w:bottom w:val="single" w:sz="4" w:space="0" w:color="auto"/>
            </w:tcBorders>
            <w:shd w:val="clear" w:color="auto" w:fill="auto"/>
          </w:tcPr>
          <w:p w14:paraId="453EC897" w14:textId="77777777" w:rsidR="007C1C8A" w:rsidRPr="009301DF" w:rsidRDefault="007C1C8A" w:rsidP="007C1C8A">
            <w:pPr>
              <w:pStyle w:val="Inne0"/>
              <w:spacing w:after="0"/>
            </w:pPr>
            <w:r w:rsidRPr="009301DF">
              <w:t xml:space="preserve">Biologiczne - </w:t>
            </w:r>
            <w:r w:rsidRPr="009301DF">
              <w:rPr>
                <w:i/>
              </w:rPr>
              <w:t>STEC</w:t>
            </w:r>
          </w:p>
        </w:tc>
        <w:tc>
          <w:tcPr>
            <w:tcW w:w="1663" w:type="dxa"/>
            <w:tcBorders>
              <w:top w:val="single" w:sz="4" w:space="0" w:color="auto"/>
              <w:left w:val="single" w:sz="4" w:space="0" w:color="auto"/>
              <w:bottom w:val="single" w:sz="4" w:space="0" w:color="auto"/>
            </w:tcBorders>
            <w:shd w:val="clear" w:color="auto" w:fill="auto"/>
          </w:tcPr>
          <w:p w14:paraId="14A218CF" w14:textId="77777777" w:rsidR="007C1C8A" w:rsidRPr="009301DF" w:rsidRDefault="007C1C8A" w:rsidP="007C1C8A">
            <w:pPr>
              <w:pStyle w:val="Inne0"/>
              <w:spacing w:after="0"/>
            </w:pPr>
            <w:r w:rsidRPr="009301DF">
              <w:t>Program warunków wstępnych dotyczący procedur higienicznego oprawiania tuszu (to samo pytanie co powyżej)</w:t>
            </w:r>
          </w:p>
        </w:tc>
        <w:tc>
          <w:tcPr>
            <w:tcW w:w="1956" w:type="dxa"/>
            <w:tcBorders>
              <w:top w:val="single" w:sz="4" w:space="0" w:color="auto"/>
              <w:left w:val="single" w:sz="4" w:space="0" w:color="auto"/>
              <w:bottom w:val="single" w:sz="4" w:space="0" w:color="auto"/>
            </w:tcBorders>
            <w:shd w:val="clear" w:color="auto" w:fill="auto"/>
          </w:tcPr>
          <w:p w14:paraId="299E6969" w14:textId="77777777" w:rsidR="007C1C8A" w:rsidRPr="009301DF" w:rsidRDefault="007C1C8A" w:rsidP="007C1C8A">
            <w:pPr>
              <w:pStyle w:val="Inne0"/>
              <w:spacing w:after="0"/>
            </w:pPr>
            <w:r w:rsidRPr="009301DF">
              <w:t>Procedury pracownicze związane z każdym stanowiskiem określone w pisemnym programie higienicznego oprawiania tusz (np. konkretne kroki podejmowane przez pracowników na każdym stanowisku w celu zapobiegania zanieczyszczeniu podczas usuwania skóry, patroszenia itp.)</w:t>
            </w:r>
          </w:p>
        </w:tc>
        <w:tc>
          <w:tcPr>
            <w:tcW w:w="4010" w:type="dxa"/>
            <w:tcBorders>
              <w:top w:val="single" w:sz="4" w:space="0" w:color="auto"/>
              <w:left w:val="single" w:sz="4" w:space="0" w:color="auto"/>
              <w:bottom w:val="single" w:sz="4" w:space="0" w:color="auto"/>
            </w:tcBorders>
            <w:shd w:val="clear" w:color="auto" w:fill="auto"/>
          </w:tcPr>
          <w:p w14:paraId="3D3E9B11" w14:textId="77777777" w:rsidR="007C1C8A" w:rsidRPr="009301DF" w:rsidRDefault="007C1C8A" w:rsidP="007C1C8A">
            <w:pPr>
              <w:pStyle w:val="Inne0"/>
              <w:spacing w:after="0"/>
            </w:pPr>
            <w:r w:rsidRPr="009301DF">
              <w:t>BIFSCO. 2009. Najlepsze praktyki dotyczące uboju (</w:t>
            </w:r>
            <w:r w:rsidRPr="009301DF">
              <w:rPr>
                <w:i/>
                <w:iCs/>
              </w:rPr>
              <w:t>Best Practices for Slaughter</w:t>
            </w:r>
            <w:r w:rsidRPr="009301DF">
              <w:t>).</w:t>
            </w:r>
          </w:p>
          <w:p w14:paraId="25CF9E50" w14:textId="77777777" w:rsidR="007C1C8A" w:rsidRPr="00540146" w:rsidRDefault="007C1C8A" w:rsidP="007C1C8A">
            <w:pPr>
              <w:pStyle w:val="Inne0"/>
              <w:rPr>
                <w:lang w:val="en-US"/>
              </w:rPr>
            </w:pPr>
            <w:hyperlink r:id="rId93" w:history="1">
              <w:r w:rsidRPr="00540146">
                <w:rPr>
                  <w:color w:val="0000FF"/>
                  <w:u w:val="single"/>
                  <w:lang w:val="en-US"/>
                </w:rPr>
                <w:t>http://www.bifsco.org/CMDocs/B</w:t>
              </w:r>
            </w:hyperlink>
            <w:r w:rsidRPr="00540146">
              <w:rPr>
                <w:color w:val="0000FF"/>
                <w:u w:val="single"/>
                <w:lang w:val="en-US"/>
              </w:rPr>
              <w:t xml:space="preserve"> </w:t>
            </w:r>
            <w:hyperlink r:id="rId94" w:history="1">
              <w:r w:rsidRPr="00540146">
                <w:rPr>
                  <w:color w:val="0000FF"/>
                  <w:u w:val="single"/>
                  <w:lang w:val="en-US"/>
                </w:rPr>
                <w:t>IFSCO/Best%20Practices/BestP</w:t>
              </w:r>
            </w:hyperlink>
            <w:r w:rsidRPr="00540146">
              <w:rPr>
                <w:color w:val="0000FF"/>
                <w:u w:val="single"/>
                <w:lang w:val="en-US"/>
              </w:rPr>
              <w:t xml:space="preserve"> </w:t>
            </w:r>
            <w:hyperlink r:id="rId95" w:history="1">
              <w:r w:rsidRPr="00540146">
                <w:rPr>
                  <w:color w:val="0000FF"/>
                  <w:u w:val="single"/>
                  <w:lang w:val="en-US"/>
                </w:rPr>
                <w:t>racslaught%20Sept%2009.pdf</w:t>
              </w:r>
            </w:hyperlink>
          </w:p>
          <w:p w14:paraId="28F93350" w14:textId="77777777" w:rsidR="007C1C8A" w:rsidRPr="00540146" w:rsidRDefault="007C1C8A" w:rsidP="007C1C8A">
            <w:pPr>
              <w:pStyle w:val="Inne0"/>
              <w:rPr>
                <w:lang w:val="en-US"/>
              </w:rPr>
            </w:pPr>
            <w:r w:rsidRPr="00540146">
              <w:rPr>
                <w:lang w:val="en-US"/>
              </w:rPr>
              <w:t xml:space="preserve">FSIS. 2002. Wytyczne dotyczące minimalizowania ryzyka wystąpienia </w:t>
            </w:r>
            <w:r w:rsidRPr="00540146">
              <w:rPr>
                <w:i/>
                <w:lang w:val="en-US"/>
              </w:rPr>
              <w:t>bakterii Escherichia coli</w:t>
            </w:r>
            <w:r w:rsidRPr="00540146">
              <w:rPr>
                <w:lang w:val="en-US"/>
              </w:rPr>
              <w:t xml:space="preserve"> O157:H7 oraz </w:t>
            </w:r>
            <w:r w:rsidRPr="00540146">
              <w:rPr>
                <w:i/>
                <w:lang w:val="en-US"/>
              </w:rPr>
              <w:t>salmonelli</w:t>
            </w:r>
            <w:r w:rsidRPr="00540146">
              <w:rPr>
                <w:lang w:val="en-US"/>
              </w:rPr>
              <w:t xml:space="preserve"> podczas uboju wołowiny (</w:t>
            </w:r>
            <w:r w:rsidRPr="00540146">
              <w:rPr>
                <w:i/>
                <w:iCs/>
                <w:lang w:val="en-US"/>
              </w:rPr>
              <w:t>Guidance for Minimizing the Risk of Escherichia coli O157:H7 and Salmonella in Beef Slaughter Operations</w:t>
            </w:r>
            <w:r w:rsidRPr="00540146">
              <w:rPr>
                <w:lang w:val="en-US"/>
              </w:rPr>
              <w:t>).</w:t>
            </w:r>
          </w:p>
          <w:p w14:paraId="7B324C24" w14:textId="77777777" w:rsidR="007C1C8A" w:rsidRPr="00540146" w:rsidRDefault="007C1C8A" w:rsidP="007C1C8A">
            <w:pPr>
              <w:pStyle w:val="Inne0"/>
              <w:spacing w:after="0"/>
              <w:rPr>
                <w:lang w:val="en-US"/>
              </w:rPr>
            </w:pPr>
            <w:r w:rsidRPr="00540146">
              <w:rPr>
                <w:lang w:val="en-US"/>
              </w:rPr>
              <w:t xml:space="preserve">FSIS. 2012. Wytyczne dotyczące zgodności dla zakładów pobierających próbki obrzynek wołowiny na obecność bakterii </w:t>
            </w:r>
            <w:r w:rsidRPr="00540146">
              <w:rPr>
                <w:i/>
                <w:lang w:val="en-US"/>
              </w:rPr>
              <w:t>Escherichia coli</w:t>
            </w:r>
            <w:r w:rsidRPr="00540146">
              <w:rPr>
                <w:lang w:val="en-US"/>
              </w:rPr>
              <w:t xml:space="preserve"> wytwarzających toksynę Shiga (STEC) lub markerów wirulencji (</w:t>
            </w:r>
            <w:r w:rsidRPr="00540146">
              <w:rPr>
                <w:i/>
                <w:iCs/>
                <w:lang w:val="en-US"/>
              </w:rPr>
              <w:t>Compliance Guideline for Establishments Sampling Beef Trimmings for Shiga Toxin-Producing Escherichia coli (STEC) Organisms or Virulence Markers</w:t>
            </w:r>
            <w:r w:rsidRPr="00540146">
              <w:rPr>
                <w:lang w:val="en-US"/>
              </w:rPr>
              <w:t>).</w:t>
            </w:r>
          </w:p>
          <w:p w14:paraId="539FF73D" w14:textId="77777777" w:rsidR="007C1C8A" w:rsidRPr="009301DF" w:rsidRDefault="007C1C8A" w:rsidP="007C1C8A">
            <w:pPr>
              <w:pStyle w:val="Inne0"/>
            </w:pPr>
            <w:hyperlink r:id="rId96" w:history="1">
              <w:r w:rsidRPr="00A371E8">
                <w:rPr>
                  <w:color w:val="0000FF"/>
                  <w:u w:val="single"/>
                  <w:lang w:val="it-IT"/>
                </w:rPr>
                <w:t>http://www.fsis.usda.gov/wps/wc</w:t>
              </w:r>
            </w:hyperlink>
            <w:r w:rsidRPr="00A371E8">
              <w:rPr>
                <w:color w:val="0000FF"/>
                <w:u w:val="single"/>
                <w:lang w:val="it-IT"/>
              </w:rPr>
              <w:t xml:space="preserve"> </w:t>
            </w:r>
            <w:hyperlink r:id="rId97" w:history="1">
              <w:r w:rsidRPr="00A371E8">
                <w:rPr>
                  <w:color w:val="0000FF"/>
                  <w:u w:val="single"/>
                  <w:lang w:val="it-IT"/>
                </w:rPr>
                <w:t>m/connect/e0f06d97-9026-</w:t>
              </w:r>
            </w:hyperlink>
            <w:r w:rsidRPr="00A371E8">
              <w:rPr>
                <w:color w:val="0000FF"/>
                <w:u w:val="single"/>
                <w:lang w:val="it-IT"/>
              </w:rPr>
              <w:t xml:space="preserve"> </w:t>
            </w:r>
            <w:hyperlink r:id="rId98" w:history="1">
              <w:r w:rsidRPr="00A371E8">
                <w:rPr>
                  <w:color w:val="0000FF"/>
                  <w:u w:val="single"/>
                  <w:lang w:val="it-IT"/>
                </w:rPr>
                <w:t>4e1e-a0c2-</w:t>
              </w:r>
            </w:hyperlink>
            <w:r w:rsidRPr="00A371E8">
              <w:rPr>
                <w:color w:val="0000FF"/>
                <w:u w:val="single"/>
                <w:lang w:val="it-IT"/>
              </w:rPr>
              <w:t xml:space="preserve"> </w:t>
            </w:r>
            <w:hyperlink r:id="rId99" w:history="1">
              <w:r w:rsidRPr="00A371E8">
                <w:rPr>
                  <w:color w:val="0000FF"/>
                  <w:u w:val="single"/>
                  <w:lang w:val="it-IT"/>
                </w:rPr>
                <w:t>1ac60b836fa6/Compliance Gui</w:t>
              </w:r>
            </w:hyperlink>
            <w:r w:rsidRPr="00A371E8">
              <w:rPr>
                <w:color w:val="0000FF"/>
                <w:u w:val="single"/>
                <w:lang w:val="it-IT"/>
              </w:rPr>
              <w:t xml:space="preserve"> </w:t>
            </w:r>
            <w:hyperlink r:id="rId100" w:history="1">
              <w:r w:rsidRPr="00A371E8">
                <w:rPr>
                  <w:color w:val="0000FF"/>
                  <w:u w:val="single"/>
                  <w:lang w:val="it-IT"/>
                </w:rPr>
                <w:t>de Est Sampling STEC 0512.</w:t>
              </w:r>
            </w:hyperlink>
            <w:r w:rsidRPr="00A371E8">
              <w:rPr>
                <w:color w:val="0000FF"/>
                <w:u w:val="single"/>
                <w:lang w:val="it-IT"/>
              </w:rPr>
              <w:t xml:space="preserve"> </w:t>
            </w:r>
            <w:hyperlink r:id="rId101" w:history="1">
              <w:r w:rsidRPr="009301DF">
                <w:rPr>
                  <w:color w:val="0000FF"/>
                  <w:u w:val="single"/>
                </w:rPr>
                <w:t>pdf?MOD=AJPERES</w:t>
              </w:r>
            </w:hyperlink>
          </w:p>
        </w:tc>
        <w:tc>
          <w:tcPr>
            <w:tcW w:w="3241" w:type="dxa"/>
            <w:tcBorders>
              <w:top w:val="single" w:sz="4" w:space="0" w:color="auto"/>
              <w:left w:val="single" w:sz="4" w:space="0" w:color="auto"/>
              <w:bottom w:val="single" w:sz="4" w:space="0" w:color="auto"/>
              <w:right w:val="single" w:sz="4" w:space="0" w:color="auto"/>
            </w:tcBorders>
            <w:shd w:val="clear" w:color="auto" w:fill="auto"/>
          </w:tcPr>
          <w:p w14:paraId="3ADCCA3C" w14:textId="77777777" w:rsidR="007C1C8A" w:rsidRPr="009301DF" w:rsidRDefault="007C1C8A" w:rsidP="007C1C8A">
            <w:pPr>
              <w:pStyle w:val="Inne0"/>
            </w:pPr>
            <w:r w:rsidRPr="009301DF">
              <w:t>W dokumentacji zakładu za okres 90 dni wykazano, że pracownicy konsekwentnie realizują procedury higienicznego oprawiania tusz zgodnie z zapisami.</w:t>
            </w:r>
          </w:p>
          <w:p w14:paraId="434728ED" w14:textId="77777777" w:rsidR="007C1C8A" w:rsidRPr="009301DF" w:rsidRDefault="007C1C8A" w:rsidP="007C1C8A">
            <w:pPr>
              <w:pStyle w:val="Inne0"/>
              <w:spacing w:after="0"/>
            </w:pPr>
            <w:r w:rsidRPr="009301DF">
              <w:t>Przegląd dodatkowej dokumentacji wygenerowanej w okresie 90 dni w ramach systemu HACCP, która potwierdza, że procedury są skuteczne (np. kontrole tusz, ogólne wyniki testów na obecność E. coli i wszelkie inne wyniki testów mikrobiologicznych).</w:t>
            </w:r>
          </w:p>
        </w:tc>
      </w:tr>
    </w:tbl>
    <w:p w14:paraId="6F0E41D8"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110100D8"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488"/>
        <w:gridCol w:w="2170"/>
        <w:gridCol w:w="1888"/>
        <w:gridCol w:w="2364"/>
        <w:gridCol w:w="2645"/>
        <w:gridCol w:w="3221"/>
      </w:tblGrid>
      <w:tr w:rsidR="00B328C6" w:rsidRPr="009301DF" w14:paraId="52262419" w14:textId="77777777" w:rsidTr="00B328C6">
        <w:trPr>
          <w:trHeight w:hRule="exact" w:val="1229"/>
        </w:trPr>
        <w:tc>
          <w:tcPr>
            <w:tcW w:w="5000" w:type="pct"/>
            <w:gridSpan w:val="6"/>
            <w:shd w:val="clear" w:color="auto" w:fill="auto"/>
          </w:tcPr>
          <w:p w14:paraId="6E8A1E3B" w14:textId="77777777" w:rsidR="00B328C6" w:rsidRPr="009301DF" w:rsidRDefault="00B328C6" w:rsidP="002F0761">
            <w:pPr>
              <w:pStyle w:val="Inne0"/>
              <w:framePr w:w="13776" w:h="8933" w:wrap="none" w:vAnchor="page" w:hAnchor="page" w:x="385" w:y="735"/>
              <w:spacing w:after="0"/>
              <w:ind w:hanging="12"/>
            </w:pPr>
            <w:r w:rsidRPr="009301DF">
              <w:t>Wyłącznie do celów ilustracyjnych</w:t>
            </w:r>
          </w:p>
        </w:tc>
      </w:tr>
      <w:tr w:rsidR="00B328C6" w:rsidRPr="009301DF" w14:paraId="4391F24F" w14:textId="77777777" w:rsidTr="00B328C6">
        <w:trPr>
          <w:trHeight w:hRule="exact" w:val="771"/>
        </w:trPr>
        <w:tc>
          <w:tcPr>
            <w:tcW w:w="525" w:type="pct"/>
            <w:vMerge w:val="restart"/>
            <w:tcBorders>
              <w:top w:val="single" w:sz="4" w:space="0" w:color="auto"/>
              <w:left w:val="single" w:sz="4" w:space="0" w:color="auto"/>
            </w:tcBorders>
            <w:shd w:val="clear" w:color="auto" w:fill="auto"/>
          </w:tcPr>
          <w:p w14:paraId="1C43C653" w14:textId="77777777" w:rsidR="00B328C6" w:rsidRPr="009301DF" w:rsidRDefault="00B328C6" w:rsidP="005F6F63">
            <w:pPr>
              <w:pStyle w:val="Inne0"/>
              <w:framePr w:w="13776" w:h="8933" w:wrap="none" w:vAnchor="page" w:hAnchor="page" w:x="385" w:y="735"/>
              <w:spacing w:after="0"/>
            </w:pPr>
            <w:r w:rsidRPr="009301DF">
              <w:t>Produkt</w:t>
            </w:r>
          </w:p>
        </w:tc>
        <w:tc>
          <w:tcPr>
            <w:tcW w:w="791" w:type="pct"/>
            <w:vMerge w:val="restart"/>
            <w:tcBorders>
              <w:top w:val="single" w:sz="4" w:space="0" w:color="auto"/>
              <w:left w:val="single" w:sz="4" w:space="0" w:color="auto"/>
            </w:tcBorders>
            <w:shd w:val="clear" w:color="auto" w:fill="auto"/>
          </w:tcPr>
          <w:p w14:paraId="6F1C1F90" w14:textId="77777777" w:rsidR="00B328C6" w:rsidRPr="009301DF" w:rsidRDefault="00B328C6" w:rsidP="005F6F63">
            <w:pPr>
              <w:pStyle w:val="Inne0"/>
              <w:framePr w:w="13776" w:h="8933" w:wrap="none" w:vAnchor="page" w:hAnchor="page" w:x="385" w:y="735"/>
              <w:spacing w:after="0"/>
            </w:pPr>
            <w:r w:rsidRPr="009301DF">
              <w:t>Zagrożenie:</w:t>
            </w:r>
          </w:p>
        </w:tc>
        <w:tc>
          <w:tcPr>
            <w:tcW w:w="688" w:type="pct"/>
            <w:vMerge w:val="restart"/>
            <w:tcBorders>
              <w:top w:val="single" w:sz="4" w:space="0" w:color="auto"/>
              <w:left w:val="single" w:sz="4" w:space="0" w:color="auto"/>
            </w:tcBorders>
            <w:shd w:val="clear" w:color="auto" w:fill="auto"/>
          </w:tcPr>
          <w:p w14:paraId="24F3C71C" w14:textId="77777777" w:rsidR="00B328C6" w:rsidRPr="009301DF" w:rsidRDefault="00B328C6" w:rsidP="005F6F63">
            <w:pPr>
              <w:pStyle w:val="Inne0"/>
              <w:framePr w:w="13776" w:h="8933" w:wrap="none" w:vAnchor="page" w:hAnchor="page" w:x="385" w:y="735"/>
              <w:spacing w:after="0"/>
            </w:pPr>
            <w:r w:rsidRPr="009301DF">
              <w:t>Proces</w:t>
            </w:r>
          </w:p>
        </w:tc>
        <w:tc>
          <w:tcPr>
            <w:tcW w:w="861" w:type="pct"/>
            <w:vMerge w:val="restart"/>
            <w:tcBorders>
              <w:top w:val="single" w:sz="4" w:space="0" w:color="auto"/>
              <w:left w:val="single" w:sz="4" w:space="0" w:color="auto"/>
            </w:tcBorders>
            <w:shd w:val="clear" w:color="auto" w:fill="auto"/>
          </w:tcPr>
          <w:p w14:paraId="0ED2F4C7" w14:textId="02512D18" w:rsidR="00B328C6" w:rsidRPr="009301DF" w:rsidRDefault="00B328C6" w:rsidP="005F6F63">
            <w:pPr>
              <w:pStyle w:val="Inne0"/>
              <w:framePr w:w="13776" w:h="8933" w:wrap="none" w:vAnchor="page" w:hAnchor="page" w:x="385" w:y="735"/>
              <w:spacing w:after="0"/>
            </w:pPr>
            <w:r w:rsidRPr="009301DF">
              <w:t>Krytyczne parametry operacyjne</w:t>
            </w:r>
          </w:p>
        </w:tc>
        <w:tc>
          <w:tcPr>
            <w:tcW w:w="2135" w:type="pct"/>
            <w:gridSpan w:val="2"/>
            <w:tcBorders>
              <w:top w:val="single" w:sz="4" w:space="0" w:color="auto"/>
              <w:left w:val="single" w:sz="4" w:space="0" w:color="auto"/>
              <w:right w:val="single" w:sz="4" w:space="0" w:color="auto"/>
            </w:tcBorders>
            <w:shd w:val="clear" w:color="auto" w:fill="auto"/>
          </w:tcPr>
          <w:p w14:paraId="4E051FA7" w14:textId="77777777" w:rsidR="00B328C6" w:rsidRPr="009301DF" w:rsidRDefault="00B328C6" w:rsidP="005F6F63">
            <w:pPr>
              <w:pStyle w:val="Inne0"/>
              <w:framePr w:w="13776" w:h="8933" w:wrap="none" w:vAnchor="page" w:hAnchor="page" w:x="385" w:y="735"/>
              <w:spacing w:after="0"/>
            </w:pPr>
            <w:r w:rsidRPr="009301DF">
              <w:t>Potwierdzenie</w:t>
            </w:r>
          </w:p>
        </w:tc>
      </w:tr>
      <w:tr w:rsidR="00B328C6" w:rsidRPr="009301DF" w14:paraId="2E3FCCFA" w14:textId="77777777" w:rsidTr="00B328C6">
        <w:trPr>
          <w:trHeight w:hRule="exact" w:val="863"/>
        </w:trPr>
        <w:tc>
          <w:tcPr>
            <w:tcW w:w="525" w:type="pct"/>
            <w:vMerge/>
            <w:tcBorders>
              <w:left w:val="single" w:sz="4" w:space="0" w:color="auto"/>
            </w:tcBorders>
            <w:shd w:val="clear" w:color="auto" w:fill="auto"/>
          </w:tcPr>
          <w:p w14:paraId="5109A913" w14:textId="77777777" w:rsidR="00B328C6" w:rsidRPr="009301DF" w:rsidRDefault="00B328C6" w:rsidP="005F6F63">
            <w:pPr>
              <w:framePr w:w="13776" w:h="8933" w:wrap="none" w:vAnchor="page" w:hAnchor="page" w:x="385" w:y="735"/>
            </w:pPr>
          </w:p>
        </w:tc>
        <w:tc>
          <w:tcPr>
            <w:tcW w:w="791" w:type="pct"/>
            <w:vMerge/>
            <w:tcBorders>
              <w:left w:val="single" w:sz="4" w:space="0" w:color="auto"/>
            </w:tcBorders>
            <w:shd w:val="clear" w:color="auto" w:fill="auto"/>
          </w:tcPr>
          <w:p w14:paraId="7AA818B6" w14:textId="77777777" w:rsidR="00B328C6" w:rsidRPr="009301DF" w:rsidRDefault="00B328C6" w:rsidP="005F6F63">
            <w:pPr>
              <w:framePr w:w="13776" w:h="8933" w:wrap="none" w:vAnchor="page" w:hAnchor="page" w:x="385" w:y="735"/>
            </w:pPr>
          </w:p>
        </w:tc>
        <w:tc>
          <w:tcPr>
            <w:tcW w:w="688" w:type="pct"/>
            <w:vMerge/>
            <w:tcBorders>
              <w:left w:val="single" w:sz="4" w:space="0" w:color="auto"/>
            </w:tcBorders>
            <w:shd w:val="clear" w:color="auto" w:fill="auto"/>
          </w:tcPr>
          <w:p w14:paraId="1DC90404" w14:textId="77777777" w:rsidR="00B328C6" w:rsidRPr="009301DF" w:rsidRDefault="00B328C6" w:rsidP="005F6F63">
            <w:pPr>
              <w:framePr w:w="13776" w:h="8933" w:wrap="none" w:vAnchor="page" w:hAnchor="page" w:x="385" w:y="735"/>
            </w:pPr>
          </w:p>
        </w:tc>
        <w:tc>
          <w:tcPr>
            <w:tcW w:w="861" w:type="pct"/>
            <w:vMerge/>
            <w:tcBorders>
              <w:left w:val="single" w:sz="4" w:space="0" w:color="auto"/>
            </w:tcBorders>
            <w:shd w:val="clear" w:color="auto" w:fill="auto"/>
          </w:tcPr>
          <w:p w14:paraId="43ABD7B5" w14:textId="77777777" w:rsidR="00B328C6" w:rsidRPr="009301DF" w:rsidRDefault="00B328C6" w:rsidP="005F6F63">
            <w:pPr>
              <w:framePr w:w="13776" w:h="8933" w:wrap="none" w:vAnchor="page" w:hAnchor="page" w:x="385" w:y="735"/>
            </w:pPr>
          </w:p>
        </w:tc>
        <w:tc>
          <w:tcPr>
            <w:tcW w:w="963" w:type="pct"/>
            <w:tcBorders>
              <w:top w:val="single" w:sz="4" w:space="0" w:color="auto"/>
              <w:left w:val="single" w:sz="4" w:space="0" w:color="auto"/>
            </w:tcBorders>
            <w:shd w:val="clear" w:color="auto" w:fill="auto"/>
          </w:tcPr>
          <w:p w14:paraId="504E7C80" w14:textId="2D34CCBD" w:rsidR="00B328C6" w:rsidRPr="009301DF" w:rsidRDefault="00B328C6" w:rsidP="005F6F63">
            <w:pPr>
              <w:pStyle w:val="Inne0"/>
              <w:framePr w:w="13776" w:h="8933" w:wrap="none" w:vAnchor="page" w:hAnchor="page" w:x="385" w:y="735"/>
              <w:spacing w:after="0"/>
              <w:rPr>
                <w:sz w:val="22"/>
                <w:szCs w:val="22"/>
              </w:rPr>
            </w:pPr>
            <w:r w:rsidRPr="009301DF">
              <w:rPr>
                <w:sz w:val="22"/>
              </w:rPr>
              <w:t>Wsparcie naukowe lub techniczne</w:t>
            </w:r>
          </w:p>
        </w:tc>
        <w:tc>
          <w:tcPr>
            <w:tcW w:w="1172" w:type="pct"/>
            <w:tcBorders>
              <w:top w:val="single" w:sz="4" w:space="0" w:color="auto"/>
              <w:left w:val="single" w:sz="4" w:space="0" w:color="auto"/>
              <w:right w:val="single" w:sz="4" w:space="0" w:color="auto"/>
            </w:tcBorders>
            <w:shd w:val="clear" w:color="auto" w:fill="auto"/>
          </w:tcPr>
          <w:p w14:paraId="6E0B2DE3" w14:textId="77777777" w:rsidR="00B328C6" w:rsidRPr="009301DF" w:rsidRDefault="00B328C6" w:rsidP="005F6F63">
            <w:pPr>
              <w:pStyle w:val="Inne0"/>
              <w:framePr w:w="13776" w:h="8933" w:wrap="none" w:vAnchor="page" w:hAnchor="page" w:x="385" w:y="735"/>
              <w:spacing w:after="0"/>
              <w:rPr>
                <w:sz w:val="22"/>
                <w:szCs w:val="22"/>
              </w:rPr>
            </w:pPr>
            <w:r w:rsidRPr="009301DF">
              <w:rPr>
                <w:sz w:val="22"/>
              </w:rPr>
              <w:t>Wewnątrzzakładowe dane walidacyjne</w:t>
            </w:r>
          </w:p>
        </w:tc>
      </w:tr>
      <w:tr w:rsidR="00B328C6" w:rsidRPr="009301DF" w14:paraId="58AB3EA7" w14:textId="77777777" w:rsidTr="00B328C6">
        <w:trPr>
          <w:trHeight w:hRule="exact" w:val="5656"/>
        </w:trPr>
        <w:tc>
          <w:tcPr>
            <w:tcW w:w="525" w:type="pct"/>
            <w:tcBorders>
              <w:top w:val="single" w:sz="4" w:space="0" w:color="auto"/>
              <w:left w:val="single" w:sz="4" w:space="0" w:color="auto"/>
              <w:bottom w:val="single" w:sz="4" w:space="0" w:color="auto"/>
            </w:tcBorders>
            <w:shd w:val="clear" w:color="auto" w:fill="auto"/>
          </w:tcPr>
          <w:p w14:paraId="60A74E50" w14:textId="77777777" w:rsidR="00B328C6" w:rsidRPr="009301DF" w:rsidRDefault="00B328C6" w:rsidP="005F6F63">
            <w:pPr>
              <w:pStyle w:val="Inne0"/>
              <w:framePr w:w="13776" w:h="8933" w:wrap="none" w:vAnchor="page" w:hAnchor="page" w:x="385" w:y="735"/>
              <w:spacing w:after="0"/>
            </w:pPr>
            <w:r w:rsidRPr="009301DF">
              <w:t>Gotowe do spożycia wędzone mięso delikatesowe z indyka ze skórą* narażone na działanie czynników zewnętrznych</w:t>
            </w:r>
          </w:p>
        </w:tc>
        <w:tc>
          <w:tcPr>
            <w:tcW w:w="791" w:type="pct"/>
            <w:tcBorders>
              <w:top w:val="single" w:sz="4" w:space="0" w:color="auto"/>
              <w:left w:val="single" w:sz="4" w:space="0" w:color="auto"/>
              <w:bottom w:val="single" w:sz="4" w:space="0" w:color="auto"/>
            </w:tcBorders>
            <w:shd w:val="clear" w:color="auto" w:fill="auto"/>
          </w:tcPr>
          <w:p w14:paraId="0D743572" w14:textId="77777777" w:rsidR="00B328C6" w:rsidRPr="009301DF" w:rsidRDefault="00B328C6" w:rsidP="005F6F63">
            <w:pPr>
              <w:pStyle w:val="Inne0"/>
              <w:framePr w:w="13776" w:h="8933" w:wrap="none" w:vAnchor="page" w:hAnchor="page" w:x="385" w:y="735"/>
              <w:spacing w:after="0"/>
            </w:pPr>
            <w:r w:rsidRPr="009301DF">
              <w:rPr>
                <w:sz w:val="22"/>
              </w:rPr>
              <w:t xml:space="preserve">Biologiczne - </w:t>
            </w:r>
            <w:r w:rsidRPr="009301DF">
              <w:rPr>
                <w:i/>
              </w:rPr>
              <w:t>Listeria monocytogenes</w:t>
            </w:r>
          </w:p>
        </w:tc>
        <w:tc>
          <w:tcPr>
            <w:tcW w:w="688" w:type="pct"/>
            <w:tcBorders>
              <w:top w:val="single" w:sz="4" w:space="0" w:color="auto"/>
              <w:left w:val="single" w:sz="4" w:space="0" w:color="auto"/>
              <w:bottom w:val="single" w:sz="4" w:space="0" w:color="auto"/>
            </w:tcBorders>
            <w:shd w:val="clear" w:color="auto" w:fill="auto"/>
          </w:tcPr>
          <w:p w14:paraId="49E680C8" w14:textId="3FA50B17" w:rsidR="00B328C6" w:rsidRPr="009301DF" w:rsidRDefault="00B328C6" w:rsidP="005F6F63">
            <w:pPr>
              <w:pStyle w:val="Inne0"/>
              <w:framePr w:w="13776" w:h="8933" w:wrap="none" w:vAnchor="page" w:hAnchor="page" w:x="385" w:y="735"/>
              <w:spacing w:after="0"/>
            </w:pPr>
            <w:r w:rsidRPr="009301DF">
              <w:t>Pasteryzacja gorącą wodą</w:t>
            </w:r>
          </w:p>
        </w:tc>
        <w:tc>
          <w:tcPr>
            <w:tcW w:w="861" w:type="pct"/>
            <w:tcBorders>
              <w:top w:val="single" w:sz="4" w:space="0" w:color="auto"/>
              <w:left w:val="single" w:sz="4" w:space="0" w:color="auto"/>
              <w:bottom w:val="single" w:sz="4" w:space="0" w:color="auto"/>
            </w:tcBorders>
            <w:shd w:val="clear" w:color="auto" w:fill="auto"/>
          </w:tcPr>
          <w:p w14:paraId="2AE74B3B" w14:textId="77777777" w:rsidR="00B328C6" w:rsidRPr="009301DF" w:rsidRDefault="00B328C6" w:rsidP="005F6F63">
            <w:pPr>
              <w:pStyle w:val="Inne0"/>
              <w:framePr w:w="13776" w:h="8933" w:wrap="none" w:vAnchor="page" w:hAnchor="page" w:x="385" w:y="735"/>
              <w:spacing w:after="0"/>
            </w:pPr>
            <w:r w:rsidRPr="009301DF">
              <w:t>Temperatura gorącej wody 195°F; produkt zanurzony przez co najmniej 6 minut.</w:t>
            </w:r>
          </w:p>
        </w:tc>
        <w:tc>
          <w:tcPr>
            <w:tcW w:w="963" w:type="pct"/>
            <w:tcBorders>
              <w:top w:val="single" w:sz="4" w:space="0" w:color="auto"/>
              <w:left w:val="single" w:sz="4" w:space="0" w:color="auto"/>
              <w:bottom w:val="single" w:sz="4" w:space="0" w:color="auto"/>
            </w:tcBorders>
            <w:shd w:val="clear" w:color="auto" w:fill="auto"/>
          </w:tcPr>
          <w:p w14:paraId="063DD05B" w14:textId="13C7EA1E" w:rsidR="00B328C6" w:rsidRPr="009301DF" w:rsidRDefault="00B328C6" w:rsidP="005F6F63">
            <w:pPr>
              <w:pStyle w:val="Inne0"/>
              <w:framePr w:w="13776" w:h="8933" w:wrap="none" w:vAnchor="page" w:hAnchor="page" w:x="385" w:y="735"/>
              <w:spacing w:after="0"/>
            </w:pPr>
            <w:r w:rsidRPr="00540146">
              <w:rPr>
                <w:lang w:val="en-US"/>
              </w:rPr>
              <w:t xml:space="preserve">Muriana, P.M., Quimby, W., Davidson, C.A., Grooms, J. 2002. </w:t>
            </w:r>
            <w:r w:rsidRPr="009301DF">
              <w:t xml:space="preserve">Pasteryzacja po zapakowaniu gotowych do spożycia mięs delikatesowych przez ogrzewanie zanurzeniowe w celu zmniejszenia liczby bakterii </w:t>
            </w:r>
            <w:r w:rsidRPr="009301DF">
              <w:rPr>
                <w:i/>
              </w:rPr>
              <w:t>Listeria monocytogenes (Postpackage pasteurization of ready-to-eat deli meats by submersion heating for reduction of Listeria monocytogenes)</w:t>
            </w:r>
            <w:r w:rsidRPr="009301DF">
              <w:t xml:space="preserve">. </w:t>
            </w:r>
            <w:r w:rsidRPr="009301DF">
              <w:rPr>
                <w:i/>
              </w:rPr>
              <w:t>J. Food Prot</w:t>
            </w:r>
            <w:r w:rsidRPr="009301DF">
              <w:t>. 65(6): 963-969.</w:t>
            </w:r>
          </w:p>
        </w:tc>
        <w:tc>
          <w:tcPr>
            <w:tcW w:w="1172" w:type="pct"/>
            <w:tcBorders>
              <w:top w:val="single" w:sz="4" w:space="0" w:color="auto"/>
              <w:left w:val="single" w:sz="4" w:space="0" w:color="auto"/>
              <w:bottom w:val="single" w:sz="4" w:space="0" w:color="auto"/>
              <w:right w:val="single" w:sz="4" w:space="0" w:color="auto"/>
            </w:tcBorders>
            <w:shd w:val="clear" w:color="auto" w:fill="auto"/>
          </w:tcPr>
          <w:p w14:paraId="0C6EF633" w14:textId="77777777" w:rsidR="00B328C6" w:rsidRPr="009301DF" w:rsidRDefault="00B328C6" w:rsidP="005F6F63">
            <w:pPr>
              <w:pStyle w:val="Inne0"/>
              <w:framePr w:w="13776" w:h="8933" w:wrap="none" w:vAnchor="page" w:hAnchor="page" w:x="385" w:y="735"/>
            </w:pPr>
            <w:r w:rsidRPr="009301DF">
              <w:t>Zapisy z monitorowania zakładu przez okres 90 dni wykazujące, że czas i temperatura mogą być konsekwentnie osiągane.</w:t>
            </w:r>
          </w:p>
          <w:p w14:paraId="17E7AC6A" w14:textId="77777777" w:rsidR="00B328C6" w:rsidRPr="009301DF" w:rsidRDefault="00B328C6" w:rsidP="005F6F63">
            <w:pPr>
              <w:pStyle w:val="Inne0"/>
              <w:framePr w:w="13776" w:h="8933" w:wrap="none" w:vAnchor="page" w:hAnchor="page" w:x="385" w:y="735"/>
              <w:spacing w:after="0"/>
            </w:pPr>
            <w:r w:rsidRPr="009301DF">
              <w:t>Zapisy z monitoringu w zakładzie za okres 90 dni, w których temperatura wody jest mapowana i mierzona ze zwiększoną częstotliwością w celu wsparcia procedur i częstotliwości monitorowania.</w:t>
            </w:r>
          </w:p>
        </w:tc>
      </w:tr>
      <w:tr w:rsidR="00B328C6" w:rsidRPr="009301DF" w14:paraId="03EA4135" w14:textId="77777777" w:rsidTr="00B328C6">
        <w:trPr>
          <w:trHeight w:val="20"/>
        </w:trPr>
        <w:tc>
          <w:tcPr>
            <w:tcW w:w="5000" w:type="pct"/>
            <w:gridSpan w:val="6"/>
            <w:tcBorders>
              <w:top w:val="single" w:sz="4" w:space="0" w:color="auto"/>
            </w:tcBorders>
            <w:shd w:val="clear" w:color="auto" w:fill="auto"/>
            <w:vAlign w:val="bottom"/>
          </w:tcPr>
          <w:p w14:paraId="76E680DB" w14:textId="7E042C6D" w:rsidR="00B328C6" w:rsidRPr="009301DF" w:rsidRDefault="00B328C6" w:rsidP="00B328C6">
            <w:pPr>
              <w:pStyle w:val="Inne0"/>
              <w:framePr w:w="13776" w:h="8933" w:wrap="none" w:vAnchor="page" w:hAnchor="page" w:x="385" w:y="735"/>
            </w:pPr>
            <w:r w:rsidRPr="009301DF">
              <w:t>*UWAGA:</w:t>
            </w:r>
            <w:r w:rsidRPr="009301DF">
              <w:rPr>
                <w:b/>
              </w:rPr>
              <w:t xml:space="preserve"> </w:t>
            </w:r>
            <w:r w:rsidRPr="009301DF">
              <w:t>Stwierdzono, że redukcja bakterii Lm była mniejsza w przypadku wędzonego mięsa delikatesowego z indyka ze skórą przy użyciu tych parametrów czasu/temperatury niż w przypadku wędzonego mięsa delikatesowego z indyka bez skóry, chociaż redukcja logarytmiczna wynosiła &gt; 1 log. W przypadku produktów podlegających 9 CFR 430, obróbka po śuboju powinna być zaprojektowana tak, aby osiągnąć co najmniej 1 log śmiertelności bakterii Lm przed opuszczeniem zakładu przez produkt.</w:t>
            </w:r>
          </w:p>
        </w:tc>
      </w:tr>
    </w:tbl>
    <w:p w14:paraId="6B14BBE7"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15798A93"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375"/>
        <w:gridCol w:w="1981"/>
        <w:gridCol w:w="1709"/>
        <w:gridCol w:w="1889"/>
        <w:gridCol w:w="2970"/>
        <w:gridCol w:w="3161"/>
      </w:tblGrid>
      <w:tr w:rsidR="00632C48" w:rsidRPr="009301DF" w14:paraId="2F3E0CCE" w14:textId="77777777" w:rsidTr="009D7884">
        <w:trPr>
          <w:trHeight w:hRule="exact" w:val="284"/>
        </w:trPr>
        <w:tc>
          <w:tcPr>
            <w:tcW w:w="5000" w:type="pct"/>
            <w:gridSpan w:val="6"/>
            <w:shd w:val="clear" w:color="auto" w:fill="auto"/>
          </w:tcPr>
          <w:p w14:paraId="72C5F467" w14:textId="77777777" w:rsidR="00632C48" w:rsidRPr="009301DF" w:rsidRDefault="005F6F63" w:rsidP="009D7884">
            <w:pPr>
              <w:pStyle w:val="Inne0"/>
              <w:framePr w:w="13085" w:h="9557" w:wrap="none" w:vAnchor="page" w:hAnchor="page" w:x="731" w:y="735"/>
              <w:spacing w:after="0"/>
              <w:ind w:hanging="12"/>
              <w:rPr>
                <w:sz w:val="22"/>
                <w:szCs w:val="22"/>
              </w:rPr>
            </w:pPr>
            <w:r w:rsidRPr="009301DF">
              <w:rPr>
                <w:sz w:val="22"/>
              </w:rPr>
              <w:t>Wyłącznie do celów ilustracyjnych</w:t>
            </w:r>
          </w:p>
        </w:tc>
      </w:tr>
      <w:tr w:rsidR="00632C48" w:rsidRPr="009301DF" w14:paraId="6DF78385" w14:textId="77777777" w:rsidTr="009D7884">
        <w:trPr>
          <w:trHeight w:hRule="exact" w:val="774"/>
        </w:trPr>
        <w:tc>
          <w:tcPr>
            <w:tcW w:w="525" w:type="pct"/>
            <w:vMerge w:val="restart"/>
            <w:tcBorders>
              <w:top w:val="single" w:sz="4" w:space="0" w:color="auto"/>
              <w:left w:val="single" w:sz="4" w:space="0" w:color="auto"/>
            </w:tcBorders>
            <w:shd w:val="clear" w:color="auto" w:fill="auto"/>
          </w:tcPr>
          <w:p w14:paraId="7A7DF833"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Produkt</w:t>
            </w:r>
          </w:p>
        </w:tc>
        <w:tc>
          <w:tcPr>
            <w:tcW w:w="757" w:type="pct"/>
            <w:vMerge w:val="restart"/>
            <w:tcBorders>
              <w:top w:val="single" w:sz="4" w:space="0" w:color="auto"/>
              <w:left w:val="single" w:sz="4" w:space="0" w:color="auto"/>
            </w:tcBorders>
            <w:shd w:val="clear" w:color="auto" w:fill="auto"/>
          </w:tcPr>
          <w:p w14:paraId="4DA7B3AA"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Zagrożenie:</w:t>
            </w:r>
          </w:p>
        </w:tc>
        <w:tc>
          <w:tcPr>
            <w:tcW w:w="653" w:type="pct"/>
            <w:vMerge w:val="restart"/>
            <w:tcBorders>
              <w:top w:val="single" w:sz="4" w:space="0" w:color="auto"/>
              <w:left w:val="single" w:sz="4" w:space="0" w:color="auto"/>
            </w:tcBorders>
            <w:shd w:val="clear" w:color="auto" w:fill="auto"/>
          </w:tcPr>
          <w:p w14:paraId="35A45368"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Proces</w:t>
            </w:r>
          </w:p>
        </w:tc>
        <w:tc>
          <w:tcPr>
            <w:tcW w:w="722" w:type="pct"/>
            <w:vMerge w:val="restart"/>
            <w:tcBorders>
              <w:top w:val="single" w:sz="4" w:space="0" w:color="auto"/>
              <w:left w:val="single" w:sz="4" w:space="0" w:color="auto"/>
            </w:tcBorders>
            <w:shd w:val="clear" w:color="auto" w:fill="auto"/>
          </w:tcPr>
          <w:p w14:paraId="64A77532" w14:textId="6E3582C3" w:rsidR="00632C48" w:rsidRPr="009301DF" w:rsidRDefault="005F6F63" w:rsidP="005F6F63">
            <w:pPr>
              <w:pStyle w:val="Inne0"/>
              <w:framePr w:w="13085" w:h="9557" w:wrap="none" w:vAnchor="page" w:hAnchor="page" w:x="731" w:y="735"/>
              <w:spacing w:after="0"/>
              <w:rPr>
                <w:sz w:val="22"/>
                <w:szCs w:val="22"/>
              </w:rPr>
            </w:pPr>
            <w:r w:rsidRPr="009301DF">
              <w:rPr>
                <w:sz w:val="22"/>
              </w:rPr>
              <w:t>Krytyczne parametry operacyjne</w:t>
            </w:r>
          </w:p>
        </w:tc>
        <w:tc>
          <w:tcPr>
            <w:tcW w:w="2343" w:type="pct"/>
            <w:gridSpan w:val="2"/>
            <w:tcBorders>
              <w:top w:val="single" w:sz="4" w:space="0" w:color="auto"/>
              <w:left w:val="single" w:sz="4" w:space="0" w:color="auto"/>
              <w:right w:val="single" w:sz="4" w:space="0" w:color="auto"/>
            </w:tcBorders>
            <w:shd w:val="clear" w:color="auto" w:fill="auto"/>
          </w:tcPr>
          <w:p w14:paraId="0747F10F"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Potwierdzenie</w:t>
            </w:r>
          </w:p>
        </w:tc>
      </w:tr>
      <w:tr w:rsidR="00632C48" w:rsidRPr="009301DF" w14:paraId="5D0CC396" w14:textId="77777777" w:rsidTr="009D7884">
        <w:trPr>
          <w:trHeight w:hRule="exact" w:val="878"/>
        </w:trPr>
        <w:tc>
          <w:tcPr>
            <w:tcW w:w="525" w:type="pct"/>
            <w:vMerge/>
            <w:tcBorders>
              <w:left w:val="single" w:sz="4" w:space="0" w:color="auto"/>
            </w:tcBorders>
            <w:shd w:val="clear" w:color="auto" w:fill="auto"/>
          </w:tcPr>
          <w:p w14:paraId="4B7D7290" w14:textId="77777777" w:rsidR="00632C48" w:rsidRPr="009301DF" w:rsidRDefault="00632C48" w:rsidP="005F6F63">
            <w:pPr>
              <w:framePr w:w="13085" w:h="9557" w:wrap="none" w:vAnchor="page" w:hAnchor="page" w:x="731" w:y="735"/>
              <w:rPr>
                <w:sz w:val="22"/>
                <w:szCs w:val="22"/>
              </w:rPr>
            </w:pPr>
          </w:p>
        </w:tc>
        <w:tc>
          <w:tcPr>
            <w:tcW w:w="757" w:type="pct"/>
            <w:vMerge/>
            <w:tcBorders>
              <w:left w:val="single" w:sz="4" w:space="0" w:color="auto"/>
            </w:tcBorders>
            <w:shd w:val="clear" w:color="auto" w:fill="auto"/>
          </w:tcPr>
          <w:p w14:paraId="26A0D1DC" w14:textId="77777777" w:rsidR="00632C48" w:rsidRPr="009301DF" w:rsidRDefault="00632C48" w:rsidP="005F6F63">
            <w:pPr>
              <w:framePr w:w="13085" w:h="9557" w:wrap="none" w:vAnchor="page" w:hAnchor="page" w:x="731" w:y="735"/>
              <w:rPr>
                <w:sz w:val="22"/>
                <w:szCs w:val="22"/>
              </w:rPr>
            </w:pPr>
          </w:p>
        </w:tc>
        <w:tc>
          <w:tcPr>
            <w:tcW w:w="653" w:type="pct"/>
            <w:vMerge/>
            <w:tcBorders>
              <w:left w:val="single" w:sz="4" w:space="0" w:color="auto"/>
            </w:tcBorders>
            <w:shd w:val="clear" w:color="auto" w:fill="auto"/>
          </w:tcPr>
          <w:p w14:paraId="029FACB5" w14:textId="77777777" w:rsidR="00632C48" w:rsidRPr="009301DF" w:rsidRDefault="00632C48" w:rsidP="005F6F63">
            <w:pPr>
              <w:framePr w:w="13085" w:h="9557" w:wrap="none" w:vAnchor="page" w:hAnchor="page" w:x="731" w:y="735"/>
              <w:rPr>
                <w:sz w:val="22"/>
                <w:szCs w:val="22"/>
              </w:rPr>
            </w:pPr>
          </w:p>
        </w:tc>
        <w:tc>
          <w:tcPr>
            <w:tcW w:w="722" w:type="pct"/>
            <w:vMerge/>
            <w:tcBorders>
              <w:left w:val="single" w:sz="4" w:space="0" w:color="auto"/>
            </w:tcBorders>
            <w:shd w:val="clear" w:color="auto" w:fill="auto"/>
          </w:tcPr>
          <w:p w14:paraId="42B14FAE" w14:textId="77777777" w:rsidR="00632C48" w:rsidRPr="009301DF" w:rsidRDefault="00632C48" w:rsidP="005F6F63">
            <w:pPr>
              <w:framePr w:w="13085" w:h="9557" w:wrap="none" w:vAnchor="page" w:hAnchor="page" w:x="731" w:y="735"/>
              <w:rPr>
                <w:sz w:val="22"/>
                <w:szCs w:val="22"/>
              </w:rPr>
            </w:pPr>
          </w:p>
        </w:tc>
        <w:tc>
          <w:tcPr>
            <w:tcW w:w="1135" w:type="pct"/>
            <w:tcBorders>
              <w:top w:val="single" w:sz="4" w:space="0" w:color="auto"/>
              <w:left w:val="single" w:sz="4" w:space="0" w:color="auto"/>
            </w:tcBorders>
            <w:shd w:val="clear" w:color="auto" w:fill="auto"/>
          </w:tcPr>
          <w:p w14:paraId="7435E38B" w14:textId="44D83EBE" w:rsidR="00632C48" w:rsidRPr="009301DF" w:rsidRDefault="005F6F63" w:rsidP="005F6F63">
            <w:pPr>
              <w:pStyle w:val="Inne0"/>
              <w:framePr w:w="13085" w:h="9557" w:wrap="none" w:vAnchor="page" w:hAnchor="page" w:x="731" w:y="735"/>
              <w:spacing w:after="0"/>
              <w:rPr>
                <w:sz w:val="22"/>
                <w:szCs w:val="22"/>
              </w:rPr>
            </w:pPr>
            <w:r w:rsidRPr="009301DF">
              <w:rPr>
                <w:sz w:val="22"/>
              </w:rPr>
              <w:t>Wsparcie naukowe lub techniczne</w:t>
            </w:r>
          </w:p>
        </w:tc>
        <w:tc>
          <w:tcPr>
            <w:tcW w:w="1208" w:type="pct"/>
            <w:tcBorders>
              <w:top w:val="single" w:sz="4" w:space="0" w:color="auto"/>
              <w:left w:val="single" w:sz="4" w:space="0" w:color="auto"/>
              <w:right w:val="single" w:sz="4" w:space="0" w:color="auto"/>
            </w:tcBorders>
            <w:shd w:val="clear" w:color="auto" w:fill="auto"/>
          </w:tcPr>
          <w:p w14:paraId="52673944"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Wewnątrzzakładowe dane walidacyjne</w:t>
            </w:r>
          </w:p>
        </w:tc>
      </w:tr>
      <w:tr w:rsidR="00632C48" w:rsidRPr="009301DF" w14:paraId="3FF3CA93" w14:textId="77777777" w:rsidTr="009D7884">
        <w:trPr>
          <w:trHeight w:hRule="exact" w:val="9409"/>
        </w:trPr>
        <w:tc>
          <w:tcPr>
            <w:tcW w:w="525" w:type="pct"/>
            <w:tcBorders>
              <w:top w:val="single" w:sz="4" w:space="0" w:color="auto"/>
              <w:left w:val="single" w:sz="4" w:space="0" w:color="auto"/>
            </w:tcBorders>
            <w:shd w:val="clear" w:color="auto" w:fill="auto"/>
          </w:tcPr>
          <w:p w14:paraId="4DB8422F"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Kiełbasa półsucha</w:t>
            </w:r>
          </w:p>
        </w:tc>
        <w:tc>
          <w:tcPr>
            <w:tcW w:w="757" w:type="pct"/>
            <w:tcBorders>
              <w:top w:val="single" w:sz="4" w:space="0" w:color="auto"/>
              <w:left w:val="single" w:sz="4" w:space="0" w:color="auto"/>
            </w:tcBorders>
            <w:shd w:val="clear" w:color="auto" w:fill="auto"/>
          </w:tcPr>
          <w:p w14:paraId="30CFE61C"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 xml:space="preserve">Biologiczne - </w:t>
            </w:r>
            <w:r w:rsidRPr="009301DF">
              <w:rPr>
                <w:i/>
                <w:sz w:val="22"/>
              </w:rPr>
              <w:t>Staphylococcus aureus</w:t>
            </w:r>
          </w:p>
        </w:tc>
        <w:tc>
          <w:tcPr>
            <w:tcW w:w="653" w:type="pct"/>
            <w:tcBorders>
              <w:top w:val="single" w:sz="4" w:space="0" w:color="auto"/>
              <w:left w:val="single" w:sz="4" w:space="0" w:color="auto"/>
            </w:tcBorders>
            <w:shd w:val="clear" w:color="auto" w:fill="auto"/>
          </w:tcPr>
          <w:p w14:paraId="32BB7C44"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Fermentacja</w:t>
            </w:r>
          </w:p>
        </w:tc>
        <w:tc>
          <w:tcPr>
            <w:tcW w:w="722" w:type="pct"/>
            <w:tcBorders>
              <w:top w:val="single" w:sz="4" w:space="0" w:color="auto"/>
              <w:left w:val="single" w:sz="4" w:space="0" w:color="auto"/>
            </w:tcBorders>
            <w:shd w:val="clear" w:color="auto" w:fill="auto"/>
          </w:tcPr>
          <w:p w14:paraId="5D9B0A1A" w14:textId="77777777" w:rsidR="00632C48" w:rsidRPr="009301DF" w:rsidRDefault="005F6F63" w:rsidP="005F6F63">
            <w:pPr>
              <w:pStyle w:val="Inne0"/>
              <w:framePr w:w="13085" w:h="9557" w:wrap="none" w:vAnchor="page" w:hAnchor="page" w:x="731" w:y="735"/>
              <w:rPr>
                <w:sz w:val="22"/>
                <w:szCs w:val="22"/>
              </w:rPr>
            </w:pPr>
            <w:r w:rsidRPr="009301DF">
              <w:rPr>
                <w:sz w:val="22"/>
              </w:rPr>
              <w:t>Fermentacja produktu do pH &lt; 5,3 w czasie krótszym niż 1000 stopniogodzin*.</w:t>
            </w:r>
          </w:p>
          <w:p w14:paraId="1FDF79A3"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Skurczenie do MPR 3,1:1 lub mniej (co odpowiada &lt;11% skurczeniu produktu) i osiągnięcie pH 5,0 lub mniej, aby uznać za stabilną suchą lub półsuchą kiełbasę fermentowaną.</w:t>
            </w:r>
          </w:p>
        </w:tc>
        <w:tc>
          <w:tcPr>
            <w:tcW w:w="1135" w:type="pct"/>
            <w:tcBorders>
              <w:top w:val="single" w:sz="4" w:space="0" w:color="auto"/>
              <w:left w:val="single" w:sz="4" w:space="0" w:color="auto"/>
            </w:tcBorders>
            <w:shd w:val="clear" w:color="auto" w:fill="auto"/>
          </w:tcPr>
          <w:p w14:paraId="5B4A3529" w14:textId="77777777" w:rsidR="00632C48" w:rsidRPr="009301DF" w:rsidRDefault="005F6F63" w:rsidP="005F6F63">
            <w:pPr>
              <w:pStyle w:val="Inne0"/>
              <w:framePr w:w="13085" w:h="9557" w:wrap="none" w:vAnchor="page" w:hAnchor="page" w:x="731" w:y="735"/>
              <w:rPr>
                <w:sz w:val="22"/>
                <w:szCs w:val="22"/>
              </w:rPr>
            </w:pPr>
            <w:r w:rsidRPr="009301DF">
              <w:rPr>
                <w:sz w:val="22"/>
              </w:rPr>
              <w:t>Amerykański Instytut Mięsa (</w:t>
            </w:r>
            <w:r w:rsidRPr="009301DF">
              <w:rPr>
                <w:i/>
                <w:iCs/>
                <w:sz w:val="22"/>
              </w:rPr>
              <w:t>American Meat Institute</w:t>
            </w:r>
            <w:r w:rsidRPr="009301DF">
              <w:rPr>
                <w:sz w:val="22"/>
              </w:rPr>
              <w:t>). 1995. Tymczasowe Dobre Praktyki Produkcyjne dla fermentowanych produktów suchych i półsuchych (</w:t>
            </w:r>
            <w:r w:rsidRPr="009301DF">
              <w:rPr>
                <w:i/>
                <w:iCs/>
                <w:sz w:val="22"/>
              </w:rPr>
              <w:t>Interim Good Manufacturing Practices for Fermented Dry and Semi-Dry Products</w:t>
            </w:r>
            <w:r w:rsidRPr="009301DF">
              <w:rPr>
                <w:sz w:val="22"/>
              </w:rPr>
              <w:t>).</w:t>
            </w:r>
          </w:p>
          <w:p w14:paraId="48E642A8" w14:textId="77777777" w:rsidR="00632C48" w:rsidRPr="009301DF" w:rsidRDefault="005F6F63" w:rsidP="005F6F63">
            <w:pPr>
              <w:pStyle w:val="Inne0"/>
              <w:framePr w:w="13085" w:h="9557" w:wrap="none" w:vAnchor="page" w:hAnchor="page" w:x="731" w:y="735"/>
              <w:rPr>
                <w:sz w:val="22"/>
                <w:szCs w:val="22"/>
              </w:rPr>
            </w:pPr>
            <w:r w:rsidRPr="009301DF">
              <w:rPr>
                <w:sz w:val="22"/>
              </w:rPr>
              <w:t>Obliczanie stopniogodzin - stopniogodziny do osiągnięcia pH 5,3 lub niższego dla procesu, gdy najwyższa temperatura w komorze wynosi od 90 do 100°F = 1000 stopniogodzin lub mniej.</w:t>
            </w:r>
          </w:p>
          <w:p w14:paraId="4497FBED" w14:textId="77777777" w:rsidR="00632C48" w:rsidRPr="009301DF" w:rsidRDefault="005F6F63" w:rsidP="005F6F63">
            <w:pPr>
              <w:pStyle w:val="Inne0"/>
              <w:framePr w:w="13085" w:h="9557" w:wrap="none" w:vAnchor="page" w:hAnchor="page" w:x="731" w:y="735"/>
              <w:rPr>
                <w:sz w:val="22"/>
                <w:szCs w:val="22"/>
              </w:rPr>
            </w:pPr>
            <w:r w:rsidRPr="009301DF">
              <w:rPr>
                <w:sz w:val="22"/>
              </w:rPr>
              <w:t>FSIS Książka Standardów Żywności i Polityki Etykietowania oraz Ingham et al. 2005. Występowanie gronkowcaq złocistego (</w:t>
            </w:r>
            <w:r w:rsidRPr="009301DF">
              <w:rPr>
                <w:i/>
                <w:iCs/>
                <w:sz w:val="22"/>
              </w:rPr>
              <w:t>Staphylococcus aureus</w:t>
            </w:r>
            <w:r w:rsidRPr="009301DF">
              <w:rPr>
                <w:sz w:val="22"/>
              </w:rPr>
              <w:t>) na pakowanych próżniowo gotowych do spożycia produktach mięsnych przechowywanych w temperaturze 21°C (</w:t>
            </w:r>
            <w:r w:rsidRPr="009301DF">
              <w:rPr>
                <w:i/>
                <w:iCs/>
                <w:sz w:val="22"/>
              </w:rPr>
              <w:t xml:space="preserve">FSIS Food Standards and Labeling Policy Book and Ingham et al. 2005. </w:t>
            </w:r>
            <w:r w:rsidRPr="00540146">
              <w:rPr>
                <w:i/>
                <w:iCs/>
                <w:sz w:val="22"/>
                <w:lang w:val="en-US"/>
              </w:rPr>
              <w:t>Fate of Staphylococcus aureus on VacuumPackaged Ready-to-Eat Meat Products Stored at 21°C</w:t>
            </w:r>
            <w:r w:rsidRPr="00540146">
              <w:rPr>
                <w:sz w:val="22"/>
                <w:lang w:val="en-US"/>
              </w:rPr>
              <w:t xml:space="preserve">). </w:t>
            </w:r>
            <w:r w:rsidRPr="009301DF">
              <w:rPr>
                <w:sz w:val="22"/>
              </w:rPr>
              <w:t>Journal of Food Protection. 68:19111915.</w:t>
            </w:r>
          </w:p>
        </w:tc>
        <w:tc>
          <w:tcPr>
            <w:tcW w:w="1208" w:type="pct"/>
            <w:tcBorders>
              <w:top w:val="single" w:sz="4" w:space="0" w:color="auto"/>
              <w:left w:val="single" w:sz="4" w:space="0" w:color="auto"/>
              <w:right w:val="single" w:sz="4" w:space="0" w:color="auto"/>
            </w:tcBorders>
            <w:shd w:val="clear" w:color="auto" w:fill="auto"/>
          </w:tcPr>
          <w:p w14:paraId="15A88539" w14:textId="77777777" w:rsidR="00632C48" w:rsidRPr="009301DF" w:rsidRDefault="005F6F63" w:rsidP="005F6F63">
            <w:pPr>
              <w:pStyle w:val="Inne0"/>
              <w:framePr w:w="13085" w:h="9557" w:wrap="none" w:vAnchor="page" w:hAnchor="page" w:x="731" w:y="735"/>
              <w:rPr>
                <w:sz w:val="22"/>
                <w:szCs w:val="22"/>
              </w:rPr>
            </w:pPr>
            <w:r w:rsidRPr="009301DF">
              <w:rPr>
                <w:sz w:val="22"/>
              </w:rPr>
              <w:t xml:space="preserve">Zapisy z monitorowania w zakładzie za okres 90 dni wykazujące, że przeprowadzono obliczenia stopniogodzin zgodnie z GMP i wykazano, że liczba stopniogodzin wynosi &lt; 1000. Na przykład w dniu 24.10.99: Zakład = (95°F-60°F) pomnożone przez 12 = 420 stopniogodzin do pH 4,9, co mieści się w wytycznych dotyczących kontroli </w:t>
            </w:r>
            <w:r w:rsidRPr="009301DF">
              <w:rPr>
                <w:i/>
                <w:iCs/>
                <w:sz w:val="22"/>
              </w:rPr>
              <w:t>Staphylococcus aureus</w:t>
            </w:r>
            <w:r w:rsidRPr="009301DF">
              <w:rPr>
                <w:sz w:val="22"/>
              </w:rPr>
              <w:t>.</w:t>
            </w:r>
          </w:p>
          <w:p w14:paraId="7D0B922D" w14:textId="77777777" w:rsidR="00632C48" w:rsidRPr="009301DF" w:rsidRDefault="005F6F63" w:rsidP="005F6F63">
            <w:pPr>
              <w:pStyle w:val="Inne0"/>
              <w:framePr w:w="13085" w:h="9557" w:wrap="none" w:vAnchor="page" w:hAnchor="page" w:x="731" w:y="735"/>
              <w:spacing w:after="0"/>
              <w:rPr>
                <w:sz w:val="22"/>
                <w:szCs w:val="22"/>
              </w:rPr>
            </w:pPr>
            <w:r w:rsidRPr="009301DF">
              <w:rPr>
                <w:sz w:val="22"/>
              </w:rPr>
              <w:t>Zapisy z monitorowania w zakładzie za okres 90 dni wskazujące, że pH wynosi &lt;5,3 dla obliczenia stopniogodzin oraz &lt; 5,0 oraz MPR 3,1:1 lub mniej dla trwałości.</w:t>
            </w:r>
          </w:p>
        </w:tc>
      </w:tr>
      <w:tr w:rsidR="00632C48" w:rsidRPr="009301DF" w14:paraId="0AF30760" w14:textId="77777777" w:rsidTr="009D7884">
        <w:trPr>
          <w:trHeight w:hRule="exact" w:val="546"/>
        </w:trPr>
        <w:tc>
          <w:tcPr>
            <w:tcW w:w="5000" w:type="pct"/>
            <w:gridSpan w:val="6"/>
            <w:tcBorders>
              <w:top w:val="single" w:sz="4" w:space="0" w:color="auto"/>
            </w:tcBorders>
            <w:shd w:val="clear" w:color="auto" w:fill="auto"/>
          </w:tcPr>
          <w:p w14:paraId="06AF378E" w14:textId="77777777" w:rsidR="00632C48" w:rsidRPr="009301DF" w:rsidRDefault="005F6F63" w:rsidP="009D7884">
            <w:pPr>
              <w:pStyle w:val="Inne0"/>
              <w:framePr w:w="13085" w:h="9557" w:wrap="none" w:vAnchor="page" w:hAnchor="page" w:x="731" w:y="735"/>
              <w:spacing w:after="0"/>
              <w:rPr>
                <w:sz w:val="22"/>
                <w:szCs w:val="22"/>
              </w:rPr>
            </w:pPr>
            <w:r w:rsidRPr="009301DF">
              <w:rPr>
                <w:sz w:val="22"/>
              </w:rPr>
              <w:t>*UWAGA:</w:t>
            </w:r>
            <w:r w:rsidRPr="009301DF">
              <w:rPr>
                <w:b/>
                <w:sz w:val="22"/>
              </w:rPr>
              <w:t xml:space="preserve"> </w:t>
            </w:r>
            <w:r w:rsidRPr="009301DF">
              <w:rPr>
                <w:sz w:val="22"/>
              </w:rPr>
              <w:t>Limit stopniogodzin zależy od najwyższej temperatury w komorze.</w:t>
            </w:r>
          </w:p>
        </w:tc>
      </w:tr>
    </w:tbl>
    <w:p w14:paraId="286E979D"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35BB1C2E"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371"/>
        <w:gridCol w:w="1709"/>
        <w:gridCol w:w="1623"/>
        <w:gridCol w:w="3057"/>
        <w:gridCol w:w="3153"/>
        <w:gridCol w:w="2172"/>
      </w:tblGrid>
      <w:tr w:rsidR="00632C48" w:rsidRPr="009301DF" w14:paraId="16D1F800" w14:textId="77777777" w:rsidTr="009D7884">
        <w:trPr>
          <w:trHeight w:hRule="exact" w:val="675"/>
        </w:trPr>
        <w:tc>
          <w:tcPr>
            <w:tcW w:w="5000" w:type="pct"/>
            <w:gridSpan w:val="6"/>
            <w:shd w:val="clear" w:color="auto" w:fill="auto"/>
          </w:tcPr>
          <w:p w14:paraId="6634E8C0" w14:textId="77777777" w:rsidR="00632C48" w:rsidRPr="009301DF" w:rsidRDefault="005F6F63" w:rsidP="009D7884">
            <w:pPr>
              <w:pStyle w:val="Inne0"/>
              <w:framePr w:w="13085" w:h="10008" w:wrap="none" w:vAnchor="page" w:hAnchor="page" w:x="731" w:y="735"/>
              <w:spacing w:after="0"/>
            </w:pPr>
            <w:r w:rsidRPr="009301DF">
              <w:t>Wyłącznie do celów ilustracyjnych</w:t>
            </w:r>
          </w:p>
        </w:tc>
      </w:tr>
      <w:tr w:rsidR="00632C48" w:rsidRPr="009301DF" w14:paraId="62B0B7D1" w14:textId="77777777" w:rsidTr="009D7884">
        <w:trPr>
          <w:trHeight w:hRule="exact" w:val="780"/>
        </w:trPr>
        <w:tc>
          <w:tcPr>
            <w:tcW w:w="524" w:type="pct"/>
            <w:vMerge w:val="restart"/>
            <w:tcBorders>
              <w:top w:val="single" w:sz="4" w:space="0" w:color="auto"/>
              <w:left w:val="single" w:sz="4" w:space="0" w:color="auto"/>
            </w:tcBorders>
            <w:shd w:val="clear" w:color="auto" w:fill="auto"/>
          </w:tcPr>
          <w:p w14:paraId="1023E135"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Produkt</w:t>
            </w:r>
          </w:p>
        </w:tc>
        <w:tc>
          <w:tcPr>
            <w:tcW w:w="653" w:type="pct"/>
            <w:vMerge w:val="restart"/>
            <w:tcBorders>
              <w:top w:val="single" w:sz="4" w:space="0" w:color="auto"/>
              <w:left w:val="single" w:sz="4" w:space="0" w:color="auto"/>
            </w:tcBorders>
            <w:shd w:val="clear" w:color="auto" w:fill="auto"/>
          </w:tcPr>
          <w:p w14:paraId="4B83737D"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Zagrożenie:</w:t>
            </w:r>
          </w:p>
        </w:tc>
        <w:tc>
          <w:tcPr>
            <w:tcW w:w="620" w:type="pct"/>
            <w:vMerge w:val="restart"/>
            <w:tcBorders>
              <w:top w:val="single" w:sz="4" w:space="0" w:color="auto"/>
              <w:left w:val="single" w:sz="4" w:space="0" w:color="auto"/>
            </w:tcBorders>
            <w:shd w:val="clear" w:color="auto" w:fill="auto"/>
          </w:tcPr>
          <w:p w14:paraId="0CF255F5"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Proces</w:t>
            </w:r>
          </w:p>
        </w:tc>
        <w:tc>
          <w:tcPr>
            <w:tcW w:w="1168" w:type="pct"/>
            <w:vMerge w:val="restart"/>
            <w:tcBorders>
              <w:top w:val="single" w:sz="4" w:space="0" w:color="auto"/>
              <w:left w:val="single" w:sz="4" w:space="0" w:color="auto"/>
            </w:tcBorders>
            <w:shd w:val="clear" w:color="auto" w:fill="auto"/>
          </w:tcPr>
          <w:p w14:paraId="47D85FC9"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Krytyczne parametry operacyjne</w:t>
            </w:r>
          </w:p>
        </w:tc>
        <w:tc>
          <w:tcPr>
            <w:tcW w:w="2035" w:type="pct"/>
            <w:gridSpan w:val="2"/>
            <w:tcBorders>
              <w:top w:val="single" w:sz="4" w:space="0" w:color="auto"/>
              <w:left w:val="single" w:sz="4" w:space="0" w:color="auto"/>
              <w:right w:val="single" w:sz="4" w:space="0" w:color="auto"/>
            </w:tcBorders>
            <w:shd w:val="clear" w:color="auto" w:fill="auto"/>
          </w:tcPr>
          <w:p w14:paraId="52DF7C4F"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Potwierdzenie</w:t>
            </w:r>
          </w:p>
        </w:tc>
      </w:tr>
      <w:tr w:rsidR="00632C48" w:rsidRPr="009301DF" w14:paraId="4FA9A3D7" w14:textId="77777777" w:rsidTr="009D7884">
        <w:trPr>
          <w:trHeight w:hRule="exact" w:val="885"/>
        </w:trPr>
        <w:tc>
          <w:tcPr>
            <w:tcW w:w="524" w:type="pct"/>
            <w:vMerge/>
            <w:tcBorders>
              <w:left w:val="single" w:sz="4" w:space="0" w:color="auto"/>
            </w:tcBorders>
            <w:shd w:val="clear" w:color="auto" w:fill="auto"/>
          </w:tcPr>
          <w:p w14:paraId="3088B3F4" w14:textId="77777777" w:rsidR="00632C48" w:rsidRPr="009301DF" w:rsidRDefault="00632C48" w:rsidP="005F6F63">
            <w:pPr>
              <w:framePr w:w="13085" w:h="10008" w:wrap="none" w:vAnchor="page" w:hAnchor="page" w:x="731" w:y="735"/>
            </w:pPr>
          </w:p>
        </w:tc>
        <w:tc>
          <w:tcPr>
            <w:tcW w:w="653" w:type="pct"/>
            <w:vMerge/>
            <w:tcBorders>
              <w:left w:val="single" w:sz="4" w:space="0" w:color="auto"/>
            </w:tcBorders>
            <w:shd w:val="clear" w:color="auto" w:fill="auto"/>
          </w:tcPr>
          <w:p w14:paraId="076C681E" w14:textId="77777777" w:rsidR="00632C48" w:rsidRPr="009301DF" w:rsidRDefault="00632C48" w:rsidP="005F6F63">
            <w:pPr>
              <w:framePr w:w="13085" w:h="10008" w:wrap="none" w:vAnchor="page" w:hAnchor="page" w:x="731" w:y="735"/>
            </w:pPr>
          </w:p>
        </w:tc>
        <w:tc>
          <w:tcPr>
            <w:tcW w:w="620" w:type="pct"/>
            <w:vMerge/>
            <w:tcBorders>
              <w:left w:val="single" w:sz="4" w:space="0" w:color="auto"/>
            </w:tcBorders>
            <w:shd w:val="clear" w:color="auto" w:fill="auto"/>
          </w:tcPr>
          <w:p w14:paraId="64E2FD85" w14:textId="77777777" w:rsidR="00632C48" w:rsidRPr="009301DF" w:rsidRDefault="00632C48" w:rsidP="005F6F63">
            <w:pPr>
              <w:framePr w:w="13085" w:h="10008" w:wrap="none" w:vAnchor="page" w:hAnchor="page" w:x="731" w:y="735"/>
            </w:pPr>
          </w:p>
        </w:tc>
        <w:tc>
          <w:tcPr>
            <w:tcW w:w="1168" w:type="pct"/>
            <w:vMerge/>
            <w:tcBorders>
              <w:left w:val="single" w:sz="4" w:space="0" w:color="auto"/>
            </w:tcBorders>
            <w:shd w:val="clear" w:color="auto" w:fill="auto"/>
          </w:tcPr>
          <w:p w14:paraId="7324C11D" w14:textId="77777777" w:rsidR="00632C48" w:rsidRPr="009301DF" w:rsidRDefault="00632C48" w:rsidP="005F6F63">
            <w:pPr>
              <w:framePr w:w="13085" w:h="10008" w:wrap="none" w:vAnchor="page" w:hAnchor="page" w:x="731" w:y="735"/>
            </w:pPr>
          </w:p>
        </w:tc>
        <w:tc>
          <w:tcPr>
            <w:tcW w:w="1205" w:type="pct"/>
            <w:tcBorders>
              <w:top w:val="single" w:sz="4" w:space="0" w:color="auto"/>
              <w:left w:val="single" w:sz="4" w:space="0" w:color="auto"/>
            </w:tcBorders>
            <w:shd w:val="clear" w:color="auto" w:fill="auto"/>
          </w:tcPr>
          <w:p w14:paraId="09DC4812" w14:textId="11E57CB5" w:rsidR="00632C48" w:rsidRPr="009301DF" w:rsidRDefault="005F6F63" w:rsidP="005F6F63">
            <w:pPr>
              <w:pStyle w:val="Inne0"/>
              <w:framePr w:w="13085" w:h="10008" w:wrap="none" w:vAnchor="page" w:hAnchor="page" w:x="731" w:y="735"/>
              <w:spacing w:after="0"/>
              <w:rPr>
                <w:sz w:val="22"/>
                <w:szCs w:val="22"/>
              </w:rPr>
            </w:pPr>
            <w:r w:rsidRPr="009301DF">
              <w:rPr>
                <w:sz w:val="22"/>
              </w:rPr>
              <w:t>Wsparcie naukowe lub techniczne</w:t>
            </w:r>
          </w:p>
        </w:tc>
        <w:tc>
          <w:tcPr>
            <w:tcW w:w="830" w:type="pct"/>
            <w:tcBorders>
              <w:top w:val="single" w:sz="4" w:space="0" w:color="auto"/>
              <w:left w:val="single" w:sz="4" w:space="0" w:color="auto"/>
              <w:right w:val="single" w:sz="4" w:space="0" w:color="auto"/>
            </w:tcBorders>
            <w:shd w:val="clear" w:color="auto" w:fill="auto"/>
          </w:tcPr>
          <w:p w14:paraId="62C58C71"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Wewnątrzzakładowe dane walidacyjne</w:t>
            </w:r>
          </w:p>
        </w:tc>
      </w:tr>
      <w:tr w:rsidR="00632C48" w:rsidRPr="009301DF" w14:paraId="352F8461" w14:textId="77777777" w:rsidTr="009D7884">
        <w:trPr>
          <w:trHeight w:hRule="exact" w:val="8583"/>
        </w:trPr>
        <w:tc>
          <w:tcPr>
            <w:tcW w:w="524" w:type="pct"/>
            <w:tcBorders>
              <w:top w:val="single" w:sz="4" w:space="0" w:color="auto"/>
              <w:left w:val="single" w:sz="4" w:space="0" w:color="auto"/>
              <w:bottom w:val="single" w:sz="4" w:space="0" w:color="auto"/>
            </w:tcBorders>
            <w:shd w:val="clear" w:color="auto" w:fill="auto"/>
          </w:tcPr>
          <w:p w14:paraId="39FF5250"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Pieczeń wołowa (nie peklowana)</w:t>
            </w:r>
          </w:p>
        </w:tc>
        <w:tc>
          <w:tcPr>
            <w:tcW w:w="653" w:type="pct"/>
            <w:tcBorders>
              <w:top w:val="single" w:sz="4" w:space="0" w:color="auto"/>
              <w:left w:val="single" w:sz="4" w:space="0" w:color="auto"/>
              <w:bottom w:val="single" w:sz="4" w:space="0" w:color="auto"/>
            </w:tcBorders>
            <w:shd w:val="clear" w:color="auto" w:fill="auto"/>
          </w:tcPr>
          <w:p w14:paraId="13058D6C" w14:textId="77777777" w:rsidR="00632C48" w:rsidRPr="00540146" w:rsidRDefault="005F6F63" w:rsidP="005F6F63">
            <w:pPr>
              <w:pStyle w:val="Inne0"/>
              <w:framePr w:w="13085" w:h="10008" w:wrap="none" w:vAnchor="page" w:hAnchor="page" w:x="731" w:y="735"/>
              <w:spacing w:after="0"/>
              <w:rPr>
                <w:sz w:val="22"/>
                <w:szCs w:val="22"/>
                <w:lang w:val="nb-NO"/>
              </w:rPr>
            </w:pPr>
            <w:r w:rsidRPr="00540146">
              <w:rPr>
                <w:sz w:val="22"/>
                <w:lang w:val="nb-NO"/>
              </w:rPr>
              <w:t xml:space="preserve">Biologiczne - </w:t>
            </w:r>
            <w:r w:rsidRPr="00540146">
              <w:rPr>
                <w:i/>
                <w:sz w:val="22"/>
                <w:lang w:val="nb-NO"/>
              </w:rPr>
              <w:t xml:space="preserve">C. perfringens </w:t>
            </w:r>
            <w:r w:rsidRPr="00540146">
              <w:rPr>
                <w:sz w:val="22"/>
                <w:lang w:val="nb-NO"/>
              </w:rPr>
              <w:t xml:space="preserve">i </w:t>
            </w:r>
            <w:r w:rsidRPr="00540146">
              <w:rPr>
                <w:i/>
                <w:sz w:val="22"/>
                <w:lang w:val="nb-NO"/>
              </w:rPr>
              <w:t>C. botulinum</w:t>
            </w:r>
          </w:p>
        </w:tc>
        <w:tc>
          <w:tcPr>
            <w:tcW w:w="620" w:type="pct"/>
            <w:tcBorders>
              <w:top w:val="single" w:sz="4" w:space="0" w:color="auto"/>
              <w:left w:val="single" w:sz="4" w:space="0" w:color="auto"/>
              <w:bottom w:val="single" w:sz="4" w:space="0" w:color="auto"/>
            </w:tcBorders>
            <w:shd w:val="clear" w:color="auto" w:fill="auto"/>
          </w:tcPr>
          <w:p w14:paraId="570F3137"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Stabilność</w:t>
            </w:r>
          </w:p>
        </w:tc>
        <w:tc>
          <w:tcPr>
            <w:tcW w:w="1168" w:type="pct"/>
            <w:tcBorders>
              <w:top w:val="single" w:sz="4" w:space="0" w:color="auto"/>
              <w:left w:val="single" w:sz="4" w:space="0" w:color="auto"/>
              <w:bottom w:val="single" w:sz="4" w:space="0" w:color="auto"/>
            </w:tcBorders>
            <w:shd w:val="clear" w:color="auto" w:fill="auto"/>
          </w:tcPr>
          <w:p w14:paraId="7CDFE1AB"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Chłodzenie powinno rozpocząć się w ciągu 90 minut po zakończeniu cyklu gotowania. Wszystkie produkty powinny zostać schłodzone ze 120°F do 55°F w czasie nie dłuższym niż 6 godzin. Następnie należy kontynuować chłodzenie, aż produkt osiągnie temperaturę 40°F.</w:t>
            </w:r>
          </w:p>
          <w:p w14:paraId="33E16365"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Chłodzenie w temperaturze od 120°F do 80°F nie powinno trwać dłużej niż 1% godzin.</w:t>
            </w:r>
          </w:p>
          <w:p w14:paraId="68AEE059"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pH = 6,2, stężenie soli = 3%</w:t>
            </w:r>
          </w:p>
        </w:tc>
        <w:tc>
          <w:tcPr>
            <w:tcW w:w="1205" w:type="pct"/>
            <w:tcBorders>
              <w:top w:val="single" w:sz="4" w:space="0" w:color="auto"/>
              <w:left w:val="single" w:sz="4" w:space="0" w:color="auto"/>
              <w:bottom w:val="single" w:sz="4" w:space="0" w:color="auto"/>
            </w:tcBorders>
            <w:shd w:val="clear" w:color="auto" w:fill="auto"/>
          </w:tcPr>
          <w:p w14:paraId="17E19B30" w14:textId="77777777" w:rsidR="00632C48" w:rsidRPr="009301DF" w:rsidRDefault="005F6F63" w:rsidP="005F6F63">
            <w:pPr>
              <w:pStyle w:val="Inne0"/>
              <w:framePr w:w="13085" w:h="10008" w:wrap="none" w:vAnchor="page" w:hAnchor="page" w:x="731" w:y="735"/>
              <w:spacing w:after="0"/>
              <w:rPr>
                <w:sz w:val="22"/>
                <w:szCs w:val="22"/>
              </w:rPr>
            </w:pPr>
            <w:r w:rsidRPr="009301DF">
              <w:rPr>
                <w:i/>
                <w:sz w:val="22"/>
              </w:rPr>
              <w:t xml:space="preserve">Dodatek B: Wytyczne dotyczące zgodności w zakresie chłodzenia produktów mięsnych i drobiowych poddanych obróbce cieplnej (stabilizacja) </w:t>
            </w:r>
            <w:r w:rsidRPr="009301DF">
              <w:rPr>
                <w:sz w:val="22"/>
              </w:rPr>
              <w:t>dostępne pod adresem:</w:t>
            </w:r>
          </w:p>
          <w:p w14:paraId="450B46A5" w14:textId="77777777" w:rsidR="00632C48" w:rsidRPr="00540146" w:rsidRDefault="005F6F63" w:rsidP="005F6F63">
            <w:pPr>
              <w:pStyle w:val="Inne0"/>
              <w:framePr w:w="13085" w:h="10008" w:wrap="none" w:vAnchor="page" w:hAnchor="page" w:x="731" w:y="735"/>
              <w:spacing w:after="220"/>
              <w:rPr>
                <w:sz w:val="22"/>
                <w:szCs w:val="22"/>
                <w:lang w:val="en-US"/>
              </w:rPr>
            </w:pPr>
            <w:hyperlink r:id="rId102" w:history="1">
              <w:r w:rsidRPr="00540146">
                <w:rPr>
                  <w:sz w:val="22"/>
                  <w:lang w:val="en-US"/>
                </w:rPr>
                <w:t>http://www.fsis.usda.gov/wps/</w:t>
              </w:r>
            </w:hyperlink>
            <w:r w:rsidRPr="00540146">
              <w:rPr>
                <w:sz w:val="22"/>
                <w:lang w:val="en-US"/>
              </w:rPr>
              <w:t xml:space="preserve"> wcm/connect/a3165415-09ef- 4b7f-8123-93bea41a7688/95- 033F_Appendix_B.pdf?MOD =AJPERES</w:t>
            </w:r>
          </w:p>
          <w:p w14:paraId="5CA20959"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Wyniki (w tym zrzuty ekranu przewidywanego wzrostu) z modelu ComBase Perfringens Predictor wykazujące nie więcej niż 1 log wzrostu C. perfringens przy użyciu niestandardowego harmonogramu stabilizacji zakładu i czynników wewnętrznych.</w:t>
            </w:r>
          </w:p>
          <w:p w14:paraId="4F4D7A44" w14:textId="77777777" w:rsidR="00632C48" w:rsidRPr="009301DF" w:rsidRDefault="005F6F63" w:rsidP="005F6F63">
            <w:pPr>
              <w:pStyle w:val="Inne0"/>
              <w:framePr w:w="13085" w:h="10008" w:wrap="none" w:vAnchor="page" w:hAnchor="page" w:x="731" w:y="735"/>
              <w:spacing w:after="0"/>
              <w:rPr>
                <w:sz w:val="22"/>
                <w:szCs w:val="22"/>
              </w:rPr>
            </w:pPr>
            <w:r w:rsidRPr="009301DF">
              <w:rPr>
                <w:sz w:val="22"/>
              </w:rPr>
              <w:t xml:space="preserve">Instrukcja obsługi urządzenia </w:t>
            </w:r>
            <w:r w:rsidRPr="009301DF">
              <w:rPr>
                <w:i/>
                <w:iCs/>
                <w:sz w:val="22"/>
              </w:rPr>
              <w:t>Perfringens Predictor</w:t>
            </w:r>
          </w:p>
          <w:p w14:paraId="6A5861DC" w14:textId="7DD75D97" w:rsidR="00632C48" w:rsidRPr="009301DF" w:rsidRDefault="005F6F63" w:rsidP="005F6F63">
            <w:pPr>
              <w:pStyle w:val="Inne0"/>
              <w:framePr w:w="13085" w:h="10008" w:wrap="none" w:vAnchor="page" w:hAnchor="page" w:x="731" w:y="735"/>
              <w:spacing w:after="220"/>
              <w:rPr>
                <w:sz w:val="22"/>
                <w:szCs w:val="22"/>
              </w:rPr>
            </w:pPr>
            <w:hyperlink r:id="rId103" w:history="1">
              <w:r w:rsidRPr="009301DF">
                <w:rPr>
                  <w:sz w:val="22"/>
                  <w:u w:val="single"/>
                </w:rPr>
                <w:t>(</w:t>
              </w:r>
              <w:r w:rsidRPr="009301DF">
                <w:rPr>
                  <w:color w:val="0000FF"/>
                  <w:sz w:val="22"/>
                  <w:u w:val="single"/>
                </w:rPr>
                <w:t>http://modelling.combase.cc/H</w:t>
              </w:r>
            </w:hyperlink>
            <w:r w:rsidRPr="009301DF">
              <w:rPr>
                <w:color w:val="0000FF"/>
                <w:sz w:val="22"/>
                <w:u w:val="single"/>
              </w:rPr>
              <w:t xml:space="preserve"> </w:t>
            </w:r>
            <w:hyperlink r:id="rId104" w:history="1">
              <w:r w:rsidRPr="009301DF">
                <w:rPr>
                  <w:color w:val="0000FF"/>
                  <w:sz w:val="22"/>
                  <w:u w:val="single"/>
                </w:rPr>
                <w:t>elpPerPredictor/Perfringens P</w:t>
              </w:r>
            </w:hyperlink>
            <w:r w:rsidRPr="009301DF">
              <w:rPr>
                <w:color w:val="0000FF"/>
                <w:sz w:val="22"/>
                <w:u w:val="single"/>
              </w:rPr>
              <w:t xml:space="preserve"> </w:t>
            </w:r>
            <w:hyperlink r:id="rId105" w:history="1">
              <w:r w:rsidRPr="009301DF">
                <w:rPr>
                  <w:color w:val="0000FF"/>
                  <w:sz w:val="22"/>
                  <w:u w:val="single"/>
                </w:rPr>
                <w:t>redictor Manual.pdf</w:t>
              </w:r>
              <w:r w:rsidRPr="009301DF">
                <w:rPr>
                  <w:sz w:val="22"/>
                  <w:u w:val="single"/>
                </w:rPr>
                <w:t>)</w:t>
              </w:r>
            </w:hyperlink>
            <w:r w:rsidRPr="009301DF">
              <w:rPr>
                <w:sz w:val="22"/>
                <w:u w:val="single"/>
              </w:rPr>
              <w:t xml:space="preserve"> </w:t>
            </w:r>
            <w:r w:rsidRPr="009301DF">
              <w:rPr>
                <w:sz w:val="22"/>
              </w:rPr>
              <w:t xml:space="preserve">potwierdzające, że model został zwalidowany dla peklowanego i </w:t>
            </w:r>
            <w:r w:rsidR="000B6ED1" w:rsidRPr="009301DF">
              <w:rPr>
                <w:sz w:val="22"/>
              </w:rPr>
              <w:t>niepeklowanego</w:t>
            </w:r>
            <w:r w:rsidRPr="009301DF">
              <w:rPr>
                <w:sz w:val="22"/>
              </w:rPr>
              <w:t xml:space="preserve"> mięsa i produktów drobiowych.</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5BAF28FC"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Zapisy z monitoringu w zakładzie za okres 90 dni wykazujące, że każda partia produktu została schłodzona ze 120°F do 55°F w czasie nie dłuższym niż 6 godzin, i wszystkie partie osiągnęły temperaturę 40°F.</w:t>
            </w:r>
          </w:p>
          <w:p w14:paraId="69C4333F"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W zapisach z monitoringu w zakładzie za okres 90 dni wykazano, że schłodzenie produktu dla każdej wyprodukowanej partii wynosiło od 120°F do 80°F w czasie krótszym niż 1% godzin.</w:t>
            </w:r>
          </w:p>
          <w:p w14:paraId="26EEE0B7" w14:textId="77777777" w:rsidR="00632C48" w:rsidRPr="009301DF" w:rsidRDefault="005F6F63" w:rsidP="005F6F63">
            <w:pPr>
              <w:pStyle w:val="Inne0"/>
              <w:framePr w:w="13085" w:h="10008" w:wrap="none" w:vAnchor="page" w:hAnchor="page" w:x="731" w:y="735"/>
              <w:spacing w:after="220"/>
              <w:rPr>
                <w:sz w:val="22"/>
                <w:szCs w:val="22"/>
              </w:rPr>
            </w:pPr>
            <w:r w:rsidRPr="009301DF">
              <w:rPr>
                <w:sz w:val="22"/>
              </w:rPr>
              <w:t>Wyniki testów produktu dla pH 6,2 i stężenia soli 3%.</w:t>
            </w:r>
          </w:p>
        </w:tc>
      </w:tr>
    </w:tbl>
    <w:p w14:paraId="7AF6440B"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549D4CC9"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286"/>
        <w:gridCol w:w="1440"/>
        <w:gridCol w:w="1527"/>
        <w:gridCol w:w="3154"/>
        <w:gridCol w:w="2788"/>
        <w:gridCol w:w="3341"/>
      </w:tblGrid>
      <w:tr w:rsidR="00632C48" w:rsidRPr="009301DF" w14:paraId="20C8FB7E" w14:textId="77777777" w:rsidTr="009D7884">
        <w:trPr>
          <w:trHeight w:hRule="exact" w:val="801"/>
        </w:trPr>
        <w:tc>
          <w:tcPr>
            <w:tcW w:w="5000" w:type="pct"/>
            <w:gridSpan w:val="6"/>
            <w:shd w:val="clear" w:color="auto" w:fill="auto"/>
          </w:tcPr>
          <w:p w14:paraId="31979F5A" w14:textId="2BEDF7E2" w:rsidR="00632C48" w:rsidRPr="009301DF" w:rsidRDefault="005F6F63" w:rsidP="009D7884">
            <w:pPr>
              <w:pStyle w:val="Inne0"/>
              <w:framePr w:w="13536" w:h="9470" w:wrap="none" w:vAnchor="page" w:hAnchor="page" w:x="505" w:y="735"/>
              <w:spacing w:after="0"/>
            </w:pPr>
            <w:r w:rsidRPr="009301DF">
              <w:t xml:space="preserve">Wyłącznie do celów ilustracyjnych </w:t>
            </w:r>
          </w:p>
        </w:tc>
      </w:tr>
      <w:tr w:rsidR="00632C48" w:rsidRPr="009301DF" w14:paraId="3B42AE7B" w14:textId="77777777" w:rsidTr="009D7884">
        <w:trPr>
          <w:trHeight w:hRule="exact" w:val="406"/>
        </w:trPr>
        <w:tc>
          <w:tcPr>
            <w:tcW w:w="475" w:type="pct"/>
            <w:vMerge w:val="restart"/>
            <w:tcBorders>
              <w:top w:val="single" w:sz="4" w:space="0" w:color="auto"/>
              <w:left w:val="single" w:sz="4" w:space="0" w:color="auto"/>
            </w:tcBorders>
            <w:shd w:val="clear" w:color="auto" w:fill="auto"/>
          </w:tcPr>
          <w:p w14:paraId="5964C24D"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Produkt</w:t>
            </w:r>
          </w:p>
        </w:tc>
        <w:tc>
          <w:tcPr>
            <w:tcW w:w="532" w:type="pct"/>
            <w:vMerge w:val="restart"/>
            <w:tcBorders>
              <w:top w:val="single" w:sz="4" w:space="0" w:color="auto"/>
              <w:left w:val="single" w:sz="4" w:space="0" w:color="auto"/>
            </w:tcBorders>
            <w:shd w:val="clear" w:color="auto" w:fill="auto"/>
          </w:tcPr>
          <w:p w14:paraId="097EE04A"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Zagrożenie:</w:t>
            </w:r>
          </w:p>
        </w:tc>
        <w:tc>
          <w:tcPr>
            <w:tcW w:w="564" w:type="pct"/>
            <w:vMerge w:val="restart"/>
            <w:tcBorders>
              <w:top w:val="single" w:sz="4" w:space="0" w:color="auto"/>
              <w:left w:val="single" w:sz="4" w:space="0" w:color="auto"/>
            </w:tcBorders>
            <w:shd w:val="clear" w:color="auto" w:fill="auto"/>
          </w:tcPr>
          <w:p w14:paraId="636F21F7"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Proces</w:t>
            </w:r>
          </w:p>
        </w:tc>
        <w:tc>
          <w:tcPr>
            <w:tcW w:w="1165" w:type="pct"/>
            <w:vMerge w:val="restart"/>
            <w:tcBorders>
              <w:top w:val="single" w:sz="4" w:space="0" w:color="auto"/>
              <w:left w:val="single" w:sz="4" w:space="0" w:color="auto"/>
            </w:tcBorders>
            <w:shd w:val="clear" w:color="auto" w:fill="auto"/>
          </w:tcPr>
          <w:p w14:paraId="2238675B" w14:textId="5DEA773A" w:rsidR="00632C48" w:rsidRPr="009301DF" w:rsidRDefault="005F6F63" w:rsidP="005F6F63">
            <w:pPr>
              <w:pStyle w:val="Inne0"/>
              <w:framePr w:w="13536" w:h="9470" w:wrap="none" w:vAnchor="page" w:hAnchor="page" w:x="505" w:y="735"/>
              <w:spacing w:after="0"/>
              <w:rPr>
                <w:sz w:val="22"/>
                <w:szCs w:val="22"/>
              </w:rPr>
            </w:pPr>
            <w:r w:rsidRPr="009301DF">
              <w:rPr>
                <w:sz w:val="22"/>
              </w:rPr>
              <w:t>Krytyczne parametry operacyjne</w:t>
            </w:r>
          </w:p>
        </w:tc>
        <w:tc>
          <w:tcPr>
            <w:tcW w:w="2265" w:type="pct"/>
            <w:gridSpan w:val="2"/>
            <w:tcBorders>
              <w:top w:val="single" w:sz="4" w:space="0" w:color="auto"/>
              <w:left w:val="single" w:sz="4" w:space="0" w:color="auto"/>
              <w:right w:val="single" w:sz="4" w:space="0" w:color="auto"/>
            </w:tcBorders>
            <w:shd w:val="clear" w:color="auto" w:fill="auto"/>
          </w:tcPr>
          <w:p w14:paraId="68E1D8AF"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Walidacja</w:t>
            </w:r>
          </w:p>
        </w:tc>
      </w:tr>
      <w:tr w:rsidR="00632C48" w:rsidRPr="009301DF" w14:paraId="0CC0CF68" w14:textId="77777777" w:rsidTr="009D7884">
        <w:trPr>
          <w:trHeight w:hRule="exact" w:val="940"/>
        </w:trPr>
        <w:tc>
          <w:tcPr>
            <w:tcW w:w="475" w:type="pct"/>
            <w:vMerge/>
            <w:tcBorders>
              <w:left w:val="single" w:sz="4" w:space="0" w:color="auto"/>
            </w:tcBorders>
            <w:shd w:val="clear" w:color="auto" w:fill="auto"/>
          </w:tcPr>
          <w:p w14:paraId="082C76A9" w14:textId="77777777" w:rsidR="00632C48" w:rsidRPr="009301DF" w:rsidRDefault="00632C48" w:rsidP="005F6F63">
            <w:pPr>
              <w:framePr w:w="13536" w:h="9470" w:wrap="none" w:vAnchor="page" w:hAnchor="page" w:x="505" w:y="735"/>
            </w:pPr>
          </w:p>
        </w:tc>
        <w:tc>
          <w:tcPr>
            <w:tcW w:w="532" w:type="pct"/>
            <w:vMerge/>
            <w:tcBorders>
              <w:left w:val="single" w:sz="4" w:space="0" w:color="auto"/>
            </w:tcBorders>
            <w:shd w:val="clear" w:color="auto" w:fill="auto"/>
          </w:tcPr>
          <w:p w14:paraId="2CD0D9EF" w14:textId="77777777" w:rsidR="00632C48" w:rsidRPr="009301DF" w:rsidRDefault="00632C48" w:rsidP="005F6F63">
            <w:pPr>
              <w:framePr w:w="13536" w:h="9470" w:wrap="none" w:vAnchor="page" w:hAnchor="page" w:x="505" w:y="735"/>
            </w:pPr>
          </w:p>
        </w:tc>
        <w:tc>
          <w:tcPr>
            <w:tcW w:w="564" w:type="pct"/>
            <w:vMerge/>
            <w:tcBorders>
              <w:left w:val="single" w:sz="4" w:space="0" w:color="auto"/>
            </w:tcBorders>
            <w:shd w:val="clear" w:color="auto" w:fill="auto"/>
          </w:tcPr>
          <w:p w14:paraId="63456390" w14:textId="77777777" w:rsidR="00632C48" w:rsidRPr="009301DF" w:rsidRDefault="00632C48" w:rsidP="005F6F63">
            <w:pPr>
              <w:framePr w:w="13536" w:h="9470" w:wrap="none" w:vAnchor="page" w:hAnchor="page" w:x="505" w:y="735"/>
            </w:pPr>
          </w:p>
        </w:tc>
        <w:tc>
          <w:tcPr>
            <w:tcW w:w="1165" w:type="pct"/>
            <w:vMerge/>
            <w:tcBorders>
              <w:left w:val="single" w:sz="4" w:space="0" w:color="auto"/>
            </w:tcBorders>
            <w:shd w:val="clear" w:color="auto" w:fill="auto"/>
          </w:tcPr>
          <w:p w14:paraId="78097EEC" w14:textId="77777777" w:rsidR="00632C48" w:rsidRPr="009301DF" w:rsidRDefault="00632C48" w:rsidP="005F6F63">
            <w:pPr>
              <w:framePr w:w="13536" w:h="9470" w:wrap="none" w:vAnchor="page" w:hAnchor="page" w:x="505" w:y="735"/>
            </w:pPr>
          </w:p>
        </w:tc>
        <w:tc>
          <w:tcPr>
            <w:tcW w:w="1030" w:type="pct"/>
            <w:tcBorders>
              <w:top w:val="single" w:sz="4" w:space="0" w:color="auto"/>
              <w:left w:val="single" w:sz="4" w:space="0" w:color="auto"/>
            </w:tcBorders>
            <w:shd w:val="clear" w:color="auto" w:fill="auto"/>
          </w:tcPr>
          <w:p w14:paraId="6E9A0E08"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Wsparcie naukowe lub techniczne</w:t>
            </w:r>
          </w:p>
        </w:tc>
        <w:tc>
          <w:tcPr>
            <w:tcW w:w="1235" w:type="pct"/>
            <w:tcBorders>
              <w:top w:val="single" w:sz="4" w:space="0" w:color="auto"/>
              <w:left w:val="single" w:sz="4" w:space="0" w:color="auto"/>
              <w:right w:val="single" w:sz="4" w:space="0" w:color="auto"/>
            </w:tcBorders>
            <w:shd w:val="clear" w:color="auto" w:fill="auto"/>
          </w:tcPr>
          <w:p w14:paraId="271932DB"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Wewnątrzzakładowe dane walidacyjne</w:t>
            </w:r>
          </w:p>
        </w:tc>
      </w:tr>
      <w:tr w:rsidR="00632C48" w:rsidRPr="009301DF" w14:paraId="047E027F" w14:textId="77777777" w:rsidTr="009D7884">
        <w:trPr>
          <w:trHeight w:hRule="exact" w:val="8876"/>
        </w:trPr>
        <w:tc>
          <w:tcPr>
            <w:tcW w:w="475" w:type="pct"/>
            <w:tcBorders>
              <w:top w:val="single" w:sz="4" w:space="0" w:color="auto"/>
              <w:left w:val="single" w:sz="4" w:space="0" w:color="auto"/>
              <w:bottom w:val="single" w:sz="4" w:space="0" w:color="auto"/>
            </w:tcBorders>
            <w:shd w:val="clear" w:color="auto" w:fill="auto"/>
          </w:tcPr>
          <w:p w14:paraId="5BE18612" w14:textId="77777777" w:rsidR="00632C48" w:rsidRPr="00A371E8" w:rsidRDefault="005F6F63" w:rsidP="005F6F63">
            <w:pPr>
              <w:pStyle w:val="Inne0"/>
              <w:framePr w:w="13536" w:h="9470" w:wrap="none" w:vAnchor="page" w:hAnchor="page" w:x="505" w:y="735"/>
              <w:spacing w:after="0"/>
              <w:rPr>
                <w:sz w:val="22"/>
                <w:szCs w:val="22"/>
                <w:lang w:val="it-IT"/>
              </w:rPr>
            </w:pPr>
            <w:r w:rsidRPr="00A371E8">
              <w:rPr>
                <w:sz w:val="22"/>
                <w:lang w:val="it-IT"/>
              </w:rPr>
              <w:t xml:space="preserve">Kiełbasa półsucha (bolonia libańska - </w:t>
            </w:r>
            <w:r w:rsidRPr="00A371E8">
              <w:rPr>
                <w:i/>
                <w:iCs/>
                <w:sz w:val="22"/>
                <w:lang w:val="it-IT"/>
              </w:rPr>
              <w:t>Lebanon Bologna</w:t>
            </w:r>
            <w:r w:rsidRPr="00A371E8">
              <w:rPr>
                <w:sz w:val="22"/>
                <w:lang w:val="it-IT"/>
              </w:rPr>
              <w:t>)</w:t>
            </w:r>
          </w:p>
        </w:tc>
        <w:tc>
          <w:tcPr>
            <w:tcW w:w="532" w:type="pct"/>
            <w:tcBorders>
              <w:top w:val="single" w:sz="4" w:space="0" w:color="auto"/>
              <w:left w:val="single" w:sz="4" w:space="0" w:color="auto"/>
              <w:bottom w:val="single" w:sz="4" w:space="0" w:color="auto"/>
            </w:tcBorders>
            <w:shd w:val="clear" w:color="auto" w:fill="auto"/>
          </w:tcPr>
          <w:p w14:paraId="75E150B4"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 xml:space="preserve">Biologiczne - </w:t>
            </w:r>
            <w:r w:rsidRPr="009301DF">
              <w:rPr>
                <w:i/>
                <w:sz w:val="22"/>
              </w:rPr>
              <w:t>Salmonella</w:t>
            </w:r>
            <w:r w:rsidRPr="009301DF">
              <w:rPr>
                <w:sz w:val="22"/>
              </w:rPr>
              <w:t xml:space="preserve">, </w:t>
            </w:r>
            <w:r w:rsidRPr="009301DF">
              <w:rPr>
                <w:i/>
                <w:sz w:val="22"/>
              </w:rPr>
              <w:t xml:space="preserve">E. coli </w:t>
            </w:r>
            <w:r w:rsidRPr="009301DF">
              <w:rPr>
                <w:sz w:val="22"/>
              </w:rPr>
              <w:t>O157:H7</w:t>
            </w:r>
          </w:p>
        </w:tc>
        <w:tc>
          <w:tcPr>
            <w:tcW w:w="564" w:type="pct"/>
            <w:tcBorders>
              <w:top w:val="single" w:sz="4" w:space="0" w:color="auto"/>
              <w:left w:val="single" w:sz="4" w:space="0" w:color="auto"/>
              <w:bottom w:val="single" w:sz="4" w:space="0" w:color="auto"/>
            </w:tcBorders>
            <w:shd w:val="clear" w:color="auto" w:fill="auto"/>
          </w:tcPr>
          <w:p w14:paraId="5FE2065F"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Fermentacja i pośredni etap ogrzewania</w:t>
            </w:r>
          </w:p>
        </w:tc>
        <w:tc>
          <w:tcPr>
            <w:tcW w:w="1165" w:type="pct"/>
            <w:tcBorders>
              <w:top w:val="single" w:sz="4" w:space="0" w:color="auto"/>
              <w:left w:val="single" w:sz="4" w:space="0" w:color="auto"/>
              <w:bottom w:val="single" w:sz="4" w:space="0" w:color="auto"/>
            </w:tcBorders>
            <w:shd w:val="clear" w:color="auto" w:fill="auto"/>
          </w:tcPr>
          <w:p w14:paraId="7D1B4373"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Średnica: 115 mm ± 23 mm Kultura startowa: Pediococcus, Lactobacillus i Micrococcus spp. Osłonka: Celuloza</w:t>
            </w:r>
          </w:p>
          <w:p w14:paraId="19F783EC"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Harmonogram wędzarni:</w:t>
            </w:r>
          </w:p>
          <w:p w14:paraId="478CB300"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Etap 1:</w:t>
            </w:r>
          </w:p>
          <w:p w14:paraId="7BBBDEAA"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Wzrost do 80°F - 5 godzin Utrzymanie w 80°F - 8 godzin Wilgotność względna - 88 ± 2%</w:t>
            </w:r>
          </w:p>
          <w:p w14:paraId="715A0D86"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Etap 2:</w:t>
            </w:r>
          </w:p>
          <w:p w14:paraId="26C5D1EE"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Wzrost do 100°F - 4 godzin Utrzymanie w 100°F - 25 godzin Wilgotność względna - 80 ± 2%</w:t>
            </w:r>
          </w:p>
          <w:p w14:paraId="0E1361DE"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Etap 3:</w:t>
            </w:r>
          </w:p>
          <w:p w14:paraId="189E434A"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Wzrost do 110°F - 2 godzin Utrzymanie w 110°F - 24 godzin Wilgotność względna - 80 ± 2%</w:t>
            </w:r>
          </w:p>
          <w:p w14:paraId="0A8825DC"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Podczas ostatnich 2 godzin w temperaturze 110°F zastosowano dym hikorowy</w:t>
            </w:r>
          </w:p>
          <w:p w14:paraId="24211056"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Skład produktu: pH = 4.39 a</w:t>
            </w:r>
            <w:r w:rsidRPr="009301DF">
              <w:rPr>
                <w:sz w:val="22"/>
                <w:vertAlign w:val="subscript"/>
              </w:rPr>
              <w:t>w</w:t>
            </w:r>
            <w:r w:rsidRPr="009301DF">
              <w:rPr>
                <w:sz w:val="22"/>
              </w:rPr>
              <w:t xml:space="preserve"> = 0.94 % sól = 4.77 % tłuszcz = 10.43</w:t>
            </w:r>
          </w:p>
        </w:tc>
        <w:tc>
          <w:tcPr>
            <w:tcW w:w="1030" w:type="pct"/>
            <w:tcBorders>
              <w:top w:val="single" w:sz="4" w:space="0" w:color="auto"/>
              <w:left w:val="single" w:sz="4" w:space="0" w:color="auto"/>
              <w:bottom w:val="single" w:sz="4" w:space="0" w:color="auto"/>
            </w:tcBorders>
            <w:shd w:val="clear" w:color="auto" w:fill="auto"/>
          </w:tcPr>
          <w:p w14:paraId="237C7B8D" w14:textId="77777777" w:rsidR="00632C48" w:rsidRPr="009301DF" w:rsidRDefault="005F6F63" w:rsidP="005F6F63">
            <w:pPr>
              <w:pStyle w:val="Inne0"/>
              <w:framePr w:w="13536" w:h="9470" w:wrap="none" w:vAnchor="page" w:hAnchor="page" w:x="505" w:y="735"/>
              <w:spacing w:after="0"/>
              <w:rPr>
                <w:sz w:val="22"/>
                <w:szCs w:val="22"/>
              </w:rPr>
            </w:pPr>
            <w:r w:rsidRPr="009301DF">
              <w:rPr>
                <w:sz w:val="22"/>
              </w:rPr>
              <w:t xml:space="preserve">Getty, K.J.K, Phebus, R.K, Marsden, J.L., Schwenke, J.R. i Kastner, C.L. 1999. Kontrola </w:t>
            </w:r>
            <w:r w:rsidRPr="009301DF">
              <w:rPr>
                <w:i/>
                <w:sz w:val="22"/>
              </w:rPr>
              <w:t xml:space="preserve">Escherichia coli </w:t>
            </w:r>
            <w:r w:rsidRPr="009301DF">
              <w:rPr>
                <w:sz w:val="22"/>
              </w:rPr>
              <w:t>O157:H7 w kiełbasach typu bolonia libańska o dużych (115 mm) i średnich (90 mm) średnicach (</w:t>
            </w:r>
            <w:r w:rsidRPr="009301DF">
              <w:rPr>
                <w:i/>
                <w:iCs/>
                <w:sz w:val="22"/>
              </w:rPr>
              <w:t>Control of Escherichia coli O157:H7 in Large (115 mm) and Intermediate (90 mm) Diameter Lebanon- style Bologna</w:t>
            </w:r>
            <w:r w:rsidRPr="009301DF">
              <w:rPr>
                <w:sz w:val="22"/>
              </w:rPr>
              <w:t xml:space="preserve">). </w:t>
            </w:r>
            <w:r w:rsidRPr="009301DF">
              <w:rPr>
                <w:i/>
                <w:sz w:val="22"/>
              </w:rPr>
              <w:t>J of Food Sci</w:t>
            </w:r>
            <w:r w:rsidRPr="009301DF">
              <w:rPr>
                <w:sz w:val="22"/>
              </w:rPr>
              <w:t>. 64(6): 1100-1107.</w:t>
            </w: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99C8E8F"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Zapisy z monitoringu w zakładzie przez okres 90 dni rejestrujące czas i dane dotyczące temperatury suchego i mokrego termometru.</w:t>
            </w:r>
          </w:p>
          <w:p w14:paraId="061608F3"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Użycie termometrów suchego i mokrego do obliczenia wilgotności względnej lub użycie czujnika wilgotności do pomiaru wilgotności względnej podczas skoku temperatury mokrego termometru i porównanie wyników testu z wynikami wilgotności względnej w artykule.</w:t>
            </w:r>
          </w:p>
          <w:p w14:paraId="166215A4"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Określenie zimnego punktu w wędzarni w celu wsparcia procedur monitorowania i częstotliwości.</w:t>
            </w:r>
          </w:p>
          <w:p w14:paraId="4BE4F35E"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Zapisy oceniające zmienność średnicy kiełbasy.</w:t>
            </w:r>
          </w:p>
          <w:p w14:paraId="29593F3B"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Rejestry potwierdzające dane dotyczące składu produktu.</w:t>
            </w:r>
          </w:p>
          <w:p w14:paraId="5FDB8B5B" w14:textId="77777777" w:rsidR="00632C48" w:rsidRPr="009301DF" w:rsidRDefault="005F6F63" w:rsidP="005F6F63">
            <w:pPr>
              <w:pStyle w:val="Inne0"/>
              <w:framePr w:w="13536" w:h="9470" w:wrap="none" w:vAnchor="page" w:hAnchor="page" w:x="505" w:y="735"/>
              <w:spacing w:after="220"/>
              <w:rPr>
                <w:sz w:val="22"/>
                <w:szCs w:val="22"/>
              </w:rPr>
            </w:pPr>
            <w:r w:rsidRPr="009301DF">
              <w:rPr>
                <w:sz w:val="22"/>
              </w:rPr>
              <w:t>Dokument decyzyjny wykazujący, że kultura startowa i osłonka używane w rzeczywistym procesie są takie same jak te używane w dokumentach pomocniczych.</w:t>
            </w:r>
          </w:p>
        </w:tc>
      </w:tr>
    </w:tbl>
    <w:p w14:paraId="71326CD8"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368688D7"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647"/>
        <w:gridCol w:w="1391"/>
        <w:gridCol w:w="1391"/>
        <w:gridCol w:w="2450"/>
        <w:gridCol w:w="2848"/>
        <w:gridCol w:w="3780"/>
      </w:tblGrid>
      <w:tr w:rsidR="00632C48" w:rsidRPr="009301DF" w14:paraId="429567D0" w14:textId="77777777" w:rsidTr="009D7884">
        <w:trPr>
          <w:trHeight w:hRule="exact" w:val="837"/>
        </w:trPr>
        <w:tc>
          <w:tcPr>
            <w:tcW w:w="5000" w:type="pct"/>
            <w:gridSpan w:val="6"/>
            <w:shd w:val="clear" w:color="auto" w:fill="auto"/>
          </w:tcPr>
          <w:p w14:paraId="623C6902" w14:textId="77777777" w:rsidR="00632C48" w:rsidRPr="00540146" w:rsidRDefault="005F6F63" w:rsidP="009D7884">
            <w:pPr>
              <w:pStyle w:val="Inne0"/>
              <w:framePr w:w="13507" w:h="8688" w:wrap="none" w:vAnchor="page" w:hAnchor="page" w:x="519" w:y="735"/>
              <w:spacing w:after="0"/>
              <w:rPr>
                <w:sz w:val="23"/>
                <w:szCs w:val="23"/>
              </w:rPr>
            </w:pPr>
            <w:r w:rsidRPr="00540146">
              <w:rPr>
                <w:sz w:val="23"/>
                <w:szCs w:val="23"/>
              </w:rPr>
              <w:t>Wyłącznie do celów ilustracyjnych</w:t>
            </w:r>
          </w:p>
        </w:tc>
      </w:tr>
      <w:tr w:rsidR="00632C48" w:rsidRPr="009301DF" w14:paraId="7E903DEE" w14:textId="77777777" w:rsidTr="009D7884">
        <w:trPr>
          <w:trHeight w:hRule="exact" w:val="560"/>
        </w:trPr>
        <w:tc>
          <w:tcPr>
            <w:tcW w:w="490" w:type="pct"/>
            <w:vMerge w:val="restart"/>
            <w:tcBorders>
              <w:top w:val="single" w:sz="4" w:space="0" w:color="auto"/>
              <w:left w:val="single" w:sz="4" w:space="0" w:color="auto"/>
            </w:tcBorders>
            <w:shd w:val="clear" w:color="auto" w:fill="auto"/>
          </w:tcPr>
          <w:p w14:paraId="78BC7A97" w14:textId="77777777" w:rsidR="00632C48" w:rsidRPr="009301DF" w:rsidRDefault="005F6F63" w:rsidP="005F6F63">
            <w:pPr>
              <w:pStyle w:val="Inne0"/>
              <w:framePr w:w="13507" w:h="8688" w:wrap="none" w:vAnchor="page" w:hAnchor="page" w:x="519" w:y="735"/>
              <w:spacing w:after="0"/>
              <w:rPr>
                <w:sz w:val="22"/>
                <w:szCs w:val="22"/>
              </w:rPr>
            </w:pPr>
            <w:r w:rsidRPr="009301DF">
              <w:rPr>
                <w:sz w:val="22"/>
              </w:rPr>
              <w:t>Produkt</w:t>
            </w:r>
          </w:p>
        </w:tc>
        <w:tc>
          <w:tcPr>
            <w:tcW w:w="539" w:type="pct"/>
            <w:vMerge w:val="restart"/>
            <w:tcBorders>
              <w:top w:val="single" w:sz="4" w:space="0" w:color="auto"/>
              <w:left w:val="single" w:sz="4" w:space="0" w:color="auto"/>
            </w:tcBorders>
            <w:shd w:val="clear" w:color="auto" w:fill="auto"/>
          </w:tcPr>
          <w:p w14:paraId="71B7DF80" w14:textId="77777777" w:rsidR="00632C48" w:rsidRPr="00540146" w:rsidRDefault="005F6F63" w:rsidP="005F6F63">
            <w:pPr>
              <w:pStyle w:val="Inne0"/>
              <w:framePr w:w="13507" w:h="8688" w:wrap="none" w:vAnchor="page" w:hAnchor="page" w:x="519" w:y="735"/>
              <w:spacing w:after="0"/>
              <w:ind w:left="100"/>
              <w:rPr>
                <w:sz w:val="23"/>
                <w:szCs w:val="23"/>
              </w:rPr>
            </w:pPr>
            <w:r w:rsidRPr="00540146">
              <w:rPr>
                <w:sz w:val="23"/>
                <w:szCs w:val="23"/>
              </w:rPr>
              <w:t>Zagrożenie:</w:t>
            </w:r>
          </w:p>
        </w:tc>
        <w:tc>
          <w:tcPr>
            <w:tcW w:w="539" w:type="pct"/>
            <w:vMerge w:val="restart"/>
            <w:tcBorders>
              <w:top w:val="single" w:sz="4" w:space="0" w:color="auto"/>
              <w:left w:val="single" w:sz="4" w:space="0" w:color="auto"/>
            </w:tcBorders>
            <w:shd w:val="clear" w:color="auto" w:fill="auto"/>
          </w:tcPr>
          <w:p w14:paraId="36061A07" w14:textId="77777777" w:rsidR="00632C48" w:rsidRPr="00540146" w:rsidRDefault="005F6F63" w:rsidP="005F6F63">
            <w:pPr>
              <w:pStyle w:val="Inne0"/>
              <w:framePr w:w="13507" w:h="8688" w:wrap="none" w:vAnchor="page" w:hAnchor="page" w:x="519" w:y="735"/>
              <w:spacing w:after="0"/>
              <w:rPr>
                <w:sz w:val="23"/>
                <w:szCs w:val="23"/>
              </w:rPr>
            </w:pPr>
            <w:r w:rsidRPr="00540146">
              <w:rPr>
                <w:sz w:val="23"/>
                <w:szCs w:val="23"/>
              </w:rPr>
              <w:t>Proces</w:t>
            </w:r>
          </w:p>
        </w:tc>
        <w:tc>
          <w:tcPr>
            <w:tcW w:w="931" w:type="pct"/>
            <w:vMerge w:val="restart"/>
            <w:tcBorders>
              <w:top w:val="single" w:sz="4" w:space="0" w:color="auto"/>
              <w:left w:val="single" w:sz="4" w:space="0" w:color="auto"/>
            </w:tcBorders>
            <w:shd w:val="clear" w:color="auto" w:fill="auto"/>
          </w:tcPr>
          <w:p w14:paraId="23214102" w14:textId="77777777" w:rsidR="00632C48" w:rsidRPr="00540146" w:rsidRDefault="005F6F63" w:rsidP="005F6F63">
            <w:pPr>
              <w:pStyle w:val="Inne0"/>
              <w:framePr w:w="13507" w:h="8688" w:wrap="none" w:vAnchor="page" w:hAnchor="page" w:x="519" w:y="735"/>
              <w:spacing w:after="0"/>
              <w:rPr>
                <w:sz w:val="23"/>
                <w:szCs w:val="23"/>
              </w:rPr>
            </w:pPr>
            <w:r w:rsidRPr="00540146">
              <w:rPr>
                <w:sz w:val="23"/>
                <w:szCs w:val="23"/>
              </w:rPr>
              <w:t>Krytyczne parametry operacyjne</w:t>
            </w:r>
          </w:p>
        </w:tc>
        <w:tc>
          <w:tcPr>
            <w:tcW w:w="2501" w:type="pct"/>
            <w:gridSpan w:val="2"/>
            <w:tcBorders>
              <w:top w:val="single" w:sz="4" w:space="0" w:color="auto"/>
              <w:left w:val="single" w:sz="4" w:space="0" w:color="auto"/>
              <w:right w:val="single" w:sz="4" w:space="0" w:color="auto"/>
            </w:tcBorders>
            <w:shd w:val="clear" w:color="auto" w:fill="auto"/>
          </w:tcPr>
          <w:p w14:paraId="4DC7A19F" w14:textId="77777777" w:rsidR="00632C48" w:rsidRPr="00540146" w:rsidRDefault="005F6F63" w:rsidP="005F6F63">
            <w:pPr>
              <w:pStyle w:val="Inne0"/>
              <w:framePr w:w="13507" w:h="8688" w:wrap="none" w:vAnchor="page" w:hAnchor="page" w:x="519" w:y="735"/>
              <w:spacing w:after="0"/>
              <w:rPr>
                <w:sz w:val="23"/>
                <w:szCs w:val="23"/>
              </w:rPr>
            </w:pPr>
            <w:r w:rsidRPr="00540146">
              <w:rPr>
                <w:sz w:val="23"/>
                <w:szCs w:val="23"/>
              </w:rPr>
              <w:t>Potwierdzenie</w:t>
            </w:r>
          </w:p>
        </w:tc>
      </w:tr>
      <w:tr w:rsidR="00632C48" w:rsidRPr="009301DF" w14:paraId="76375A05" w14:textId="77777777" w:rsidTr="009D7884">
        <w:trPr>
          <w:trHeight w:hRule="exact" w:val="856"/>
        </w:trPr>
        <w:tc>
          <w:tcPr>
            <w:tcW w:w="490" w:type="pct"/>
            <w:vMerge/>
            <w:tcBorders>
              <w:left w:val="single" w:sz="4" w:space="0" w:color="auto"/>
            </w:tcBorders>
            <w:shd w:val="clear" w:color="auto" w:fill="auto"/>
          </w:tcPr>
          <w:p w14:paraId="7EA4C63F" w14:textId="77777777" w:rsidR="00632C48" w:rsidRPr="009301DF" w:rsidRDefault="00632C48" w:rsidP="005F6F63">
            <w:pPr>
              <w:framePr w:w="13507" w:h="8688" w:wrap="none" w:vAnchor="page" w:hAnchor="page" w:x="519" w:y="735"/>
            </w:pPr>
          </w:p>
        </w:tc>
        <w:tc>
          <w:tcPr>
            <w:tcW w:w="539" w:type="pct"/>
            <w:vMerge/>
            <w:tcBorders>
              <w:left w:val="single" w:sz="4" w:space="0" w:color="auto"/>
            </w:tcBorders>
            <w:shd w:val="clear" w:color="auto" w:fill="auto"/>
          </w:tcPr>
          <w:p w14:paraId="12566995" w14:textId="77777777" w:rsidR="00632C48" w:rsidRPr="00540146" w:rsidRDefault="00632C48" w:rsidP="005F6F63">
            <w:pPr>
              <w:framePr w:w="13507" w:h="8688" w:wrap="none" w:vAnchor="page" w:hAnchor="page" w:x="519" w:y="735"/>
              <w:rPr>
                <w:sz w:val="23"/>
                <w:szCs w:val="23"/>
              </w:rPr>
            </w:pPr>
          </w:p>
        </w:tc>
        <w:tc>
          <w:tcPr>
            <w:tcW w:w="539" w:type="pct"/>
            <w:vMerge/>
            <w:tcBorders>
              <w:left w:val="single" w:sz="4" w:space="0" w:color="auto"/>
            </w:tcBorders>
            <w:shd w:val="clear" w:color="auto" w:fill="auto"/>
          </w:tcPr>
          <w:p w14:paraId="181D3500" w14:textId="77777777" w:rsidR="00632C48" w:rsidRPr="00540146" w:rsidRDefault="00632C48" w:rsidP="005F6F63">
            <w:pPr>
              <w:framePr w:w="13507" w:h="8688" w:wrap="none" w:vAnchor="page" w:hAnchor="page" w:x="519" w:y="735"/>
              <w:rPr>
                <w:sz w:val="23"/>
                <w:szCs w:val="23"/>
              </w:rPr>
            </w:pPr>
          </w:p>
        </w:tc>
        <w:tc>
          <w:tcPr>
            <w:tcW w:w="931" w:type="pct"/>
            <w:vMerge/>
            <w:tcBorders>
              <w:left w:val="single" w:sz="4" w:space="0" w:color="auto"/>
            </w:tcBorders>
            <w:shd w:val="clear" w:color="auto" w:fill="auto"/>
          </w:tcPr>
          <w:p w14:paraId="3386F97F" w14:textId="77777777" w:rsidR="00632C48" w:rsidRPr="00540146" w:rsidRDefault="00632C48" w:rsidP="005F6F63">
            <w:pPr>
              <w:framePr w:w="13507" w:h="8688" w:wrap="none" w:vAnchor="page" w:hAnchor="page" w:x="519" w:y="735"/>
              <w:rPr>
                <w:sz w:val="23"/>
                <w:szCs w:val="23"/>
              </w:rPr>
            </w:pPr>
          </w:p>
        </w:tc>
        <w:tc>
          <w:tcPr>
            <w:tcW w:w="1078" w:type="pct"/>
            <w:tcBorders>
              <w:top w:val="single" w:sz="4" w:space="0" w:color="auto"/>
              <w:left w:val="single" w:sz="4" w:space="0" w:color="auto"/>
            </w:tcBorders>
            <w:shd w:val="clear" w:color="auto" w:fill="auto"/>
          </w:tcPr>
          <w:p w14:paraId="12BC4957" w14:textId="43ED1344" w:rsidR="00632C48" w:rsidRPr="00540146" w:rsidRDefault="005F6F63" w:rsidP="005F6F63">
            <w:pPr>
              <w:pStyle w:val="Inne0"/>
              <w:framePr w:w="13507" w:h="8688" w:wrap="none" w:vAnchor="page" w:hAnchor="page" w:x="519" w:y="735"/>
              <w:spacing w:after="0"/>
              <w:rPr>
                <w:sz w:val="23"/>
                <w:szCs w:val="23"/>
              </w:rPr>
            </w:pPr>
            <w:r w:rsidRPr="00540146">
              <w:rPr>
                <w:sz w:val="23"/>
                <w:szCs w:val="23"/>
              </w:rPr>
              <w:t>Wsparcie naukowe lub techniczne</w:t>
            </w:r>
          </w:p>
        </w:tc>
        <w:tc>
          <w:tcPr>
            <w:tcW w:w="1423" w:type="pct"/>
            <w:tcBorders>
              <w:top w:val="single" w:sz="4" w:space="0" w:color="auto"/>
              <w:left w:val="single" w:sz="4" w:space="0" w:color="auto"/>
              <w:right w:val="single" w:sz="4" w:space="0" w:color="auto"/>
            </w:tcBorders>
            <w:shd w:val="clear" w:color="auto" w:fill="auto"/>
          </w:tcPr>
          <w:p w14:paraId="5C564F91" w14:textId="77777777" w:rsidR="00632C48" w:rsidRPr="00540146" w:rsidRDefault="005F6F63" w:rsidP="005F6F63">
            <w:pPr>
              <w:pStyle w:val="Inne0"/>
              <w:framePr w:w="13507" w:h="8688" w:wrap="none" w:vAnchor="page" w:hAnchor="page" w:x="519" w:y="735"/>
              <w:spacing w:after="0"/>
              <w:rPr>
                <w:sz w:val="23"/>
                <w:szCs w:val="23"/>
              </w:rPr>
            </w:pPr>
            <w:r w:rsidRPr="00540146">
              <w:rPr>
                <w:sz w:val="23"/>
                <w:szCs w:val="23"/>
              </w:rPr>
              <w:t>Wewnątrzzakładowe dane walidacyjne</w:t>
            </w:r>
          </w:p>
        </w:tc>
      </w:tr>
      <w:tr w:rsidR="00632C48" w:rsidRPr="009301DF" w14:paraId="381C9652" w14:textId="77777777" w:rsidTr="009D7884">
        <w:trPr>
          <w:trHeight w:hRule="exact" w:val="8660"/>
        </w:trPr>
        <w:tc>
          <w:tcPr>
            <w:tcW w:w="490" w:type="pct"/>
            <w:tcBorders>
              <w:top w:val="single" w:sz="4" w:space="0" w:color="auto"/>
              <w:left w:val="single" w:sz="4" w:space="0" w:color="auto"/>
              <w:bottom w:val="single" w:sz="4" w:space="0" w:color="auto"/>
            </w:tcBorders>
            <w:shd w:val="clear" w:color="auto" w:fill="auto"/>
          </w:tcPr>
          <w:p w14:paraId="448564AE" w14:textId="77777777" w:rsidR="00632C48" w:rsidRPr="00D17144" w:rsidRDefault="005F6F63" w:rsidP="005F6F63">
            <w:pPr>
              <w:pStyle w:val="Inne0"/>
              <w:framePr w:w="13507" w:h="8688" w:wrap="none" w:vAnchor="page" w:hAnchor="page" w:x="519" w:y="735"/>
              <w:spacing w:after="0"/>
              <w:rPr>
                <w:sz w:val="22"/>
                <w:szCs w:val="22"/>
              </w:rPr>
            </w:pPr>
            <w:r w:rsidRPr="00D17144">
              <w:rPr>
                <w:sz w:val="22"/>
                <w:szCs w:val="22"/>
              </w:rPr>
              <w:t>W pełni ugotowane filety drobiowe bez możliwości przechowywania na półce sklepowej</w:t>
            </w:r>
          </w:p>
        </w:tc>
        <w:tc>
          <w:tcPr>
            <w:tcW w:w="539" w:type="pct"/>
            <w:tcBorders>
              <w:top w:val="single" w:sz="4" w:space="0" w:color="auto"/>
              <w:left w:val="single" w:sz="4" w:space="0" w:color="auto"/>
              <w:bottom w:val="single" w:sz="4" w:space="0" w:color="auto"/>
            </w:tcBorders>
            <w:shd w:val="clear" w:color="auto" w:fill="auto"/>
          </w:tcPr>
          <w:p w14:paraId="4C745295" w14:textId="01FD8616" w:rsidR="00632C48" w:rsidRPr="00D17144" w:rsidRDefault="005F6F63" w:rsidP="005F6F63">
            <w:pPr>
              <w:pStyle w:val="Inne0"/>
              <w:framePr w:w="13507" w:h="8688" w:wrap="none" w:vAnchor="page" w:hAnchor="page" w:x="519" w:y="735"/>
              <w:spacing w:after="0"/>
              <w:ind w:left="100"/>
              <w:rPr>
                <w:sz w:val="22"/>
                <w:szCs w:val="22"/>
              </w:rPr>
            </w:pPr>
            <w:r w:rsidRPr="00D17144">
              <w:rPr>
                <w:sz w:val="22"/>
                <w:szCs w:val="22"/>
              </w:rPr>
              <w:t>Biologiczne -</w:t>
            </w:r>
            <w:r w:rsidRPr="00D17144">
              <w:rPr>
                <w:i/>
                <w:sz w:val="22"/>
                <w:szCs w:val="22"/>
              </w:rPr>
              <w:t>Salmonella</w:t>
            </w:r>
          </w:p>
        </w:tc>
        <w:tc>
          <w:tcPr>
            <w:tcW w:w="539" w:type="pct"/>
            <w:tcBorders>
              <w:top w:val="single" w:sz="4" w:space="0" w:color="auto"/>
              <w:left w:val="single" w:sz="4" w:space="0" w:color="auto"/>
              <w:bottom w:val="single" w:sz="4" w:space="0" w:color="auto"/>
            </w:tcBorders>
            <w:shd w:val="clear" w:color="auto" w:fill="auto"/>
          </w:tcPr>
          <w:p w14:paraId="25910322" w14:textId="77777777" w:rsidR="00632C48" w:rsidRPr="00D17144" w:rsidRDefault="005F6F63" w:rsidP="005F6F63">
            <w:pPr>
              <w:pStyle w:val="Inne0"/>
              <w:framePr w:w="13507" w:h="8688" w:wrap="none" w:vAnchor="page" w:hAnchor="page" w:x="519" w:y="735"/>
              <w:spacing w:after="0"/>
              <w:rPr>
                <w:sz w:val="22"/>
                <w:szCs w:val="22"/>
              </w:rPr>
            </w:pPr>
            <w:r w:rsidRPr="00D17144">
              <w:rPr>
                <w:sz w:val="22"/>
                <w:szCs w:val="22"/>
              </w:rPr>
              <w:t>Gotowanie w piekarniku z nadmuchem</w:t>
            </w:r>
          </w:p>
        </w:tc>
        <w:tc>
          <w:tcPr>
            <w:tcW w:w="931" w:type="pct"/>
            <w:tcBorders>
              <w:top w:val="single" w:sz="4" w:space="0" w:color="auto"/>
              <w:left w:val="single" w:sz="4" w:space="0" w:color="auto"/>
              <w:bottom w:val="single" w:sz="4" w:space="0" w:color="auto"/>
            </w:tcBorders>
            <w:shd w:val="clear" w:color="auto" w:fill="auto"/>
          </w:tcPr>
          <w:p w14:paraId="4732037F" w14:textId="77777777" w:rsidR="00632C48" w:rsidRPr="00D17144" w:rsidRDefault="005F6F63" w:rsidP="005F6F63">
            <w:pPr>
              <w:pStyle w:val="Inne0"/>
              <w:framePr w:w="13507" w:h="8688" w:wrap="none" w:vAnchor="page" w:hAnchor="page" w:x="519" w:y="735"/>
              <w:spacing w:after="220"/>
              <w:rPr>
                <w:sz w:val="22"/>
                <w:szCs w:val="22"/>
              </w:rPr>
            </w:pPr>
            <w:r w:rsidRPr="00D17144">
              <w:rPr>
                <w:smallCaps/>
                <w:sz w:val="22"/>
                <w:szCs w:val="22"/>
              </w:rPr>
              <w:t>D62°c/i45°f</w:t>
            </w:r>
            <w:r w:rsidRPr="00D17144">
              <w:rPr>
                <w:sz w:val="22"/>
                <w:szCs w:val="22"/>
              </w:rPr>
              <w:t xml:space="preserve"> -dla kurczaka o zawartości tłuszczu od 2 do 6,3% (D</w:t>
            </w:r>
            <w:r w:rsidRPr="00D17144">
              <w:rPr>
                <w:sz w:val="22"/>
                <w:szCs w:val="22"/>
                <w:vertAlign w:val="subscript"/>
              </w:rPr>
              <w:t>62</w:t>
            </w:r>
            <w:r w:rsidRPr="00D17144">
              <w:rPr>
                <w:sz w:val="22"/>
                <w:szCs w:val="22"/>
              </w:rPr>
              <w:t>°</w:t>
            </w:r>
            <w:r w:rsidRPr="00D17144">
              <w:rPr>
                <w:sz w:val="22"/>
                <w:szCs w:val="22"/>
                <w:vertAlign w:val="subscript"/>
              </w:rPr>
              <w:t>C</w:t>
            </w:r>
            <w:r w:rsidRPr="00D17144">
              <w:rPr>
                <w:sz w:val="22"/>
                <w:szCs w:val="22"/>
              </w:rPr>
              <w:t>/</w:t>
            </w:r>
            <w:r w:rsidRPr="00D17144">
              <w:rPr>
                <w:sz w:val="22"/>
                <w:szCs w:val="22"/>
                <w:vertAlign w:val="subscript"/>
              </w:rPr>
              <w:t>145</w:t>
            </w:r>
            <w:r w:rsidRPr="00D17144">
              <w:rPr>
                <w:sz w:val="22"/>
                <w:szCs w:val="22"/>
              </w:rPr>
              <w:t>°</w:t>
            </w:r>
            <w:r w:rsidRPr="00D17144">
              <w:rPr>
                <w:sz w:val="22"/>
                <w:szCs w:val="22"/>
                <w:vertAlign w:val="subscript"/>
              </w:rPr>
              <w:t xml:space="preserve">F </w:t>
            </w:r>
            <w:r w:rsidRPr="00D17144">
              <w:rPr>
                <w:sz w:val="22"/>
                <w:szCs w:val="22"/>
              </w:rPr>
              <w:t>= 1,4 min). Gotować do temperatury wewnętrznej &gt;145°F, przetrzymać &gt; 8 minut.</w:t>
            </w:r>
          </w:p>
          <w:p w14:paraId="64BCF84D"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Skład produktu: stężenie soli i fosforanów (%) oraz poziom azotynu sodu w produkcie (ppm); pH produktu.</w:t>
            </w:r>
          </w:p>
          <w:p w14:paraId="408E81A8"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Grubość filetów, rozmieszczenie filetów na taśmie, prędkość taśmy przenośnika i natężenie przepływu powietrza.</w:t>
            </w:r>
          </w:p>
          <w:p w14:paraId="3610E226"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Temperatura mokrego i suchego termometru.</w:t>
            </w:r>
          </w:p>
        </w:tc>
        <w:tc>
          <w:tcPr>
            <w:tcW w:w="1078" w:type="pct"/>
            <w:tcBorders>
              <w:top w:val="single" w:sz="4" w:space="0" w:color="auto"/>
              <w:left w:val="single" w:sz="4" w:space="0" w:color="auto"/>
              <w:bottom w:val="single" w:sz="4" w:space="0" w:color="auto"/>
            </w:tcBorders>
            <w:shd w:val="clear" w:color="auto" w:fill="auto"/>
          </w:tcPr>
          <w:p w14:paraId="40C096A9"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 xml:space="preserve">Arkusz kalkulacyjny śmiertelności procesu Amerykańskiego Instytutu Mięsa. Dostępny pod adresem </w:t>
            </w:r>
            <w:hyperlink r:id="rId106" w:history="1">
              <w:r w:rsidRPr="00D17144">
                <w:rPr>
                  <w:sz w:val="22"/>
                  <w:szCs w:val="22"/>
                </w:rPr>
                <w:t>http://www.amif.org/proce</w:t>
              </w:r>
            </w:hyperlink>
            <w:r w:rsidRPr="00D17144">
              <w:rPr>
                <w:sz w:val="22"/>
                <w:szCs w:val="22"/>
              </w:rPr>
              <w:t xml:space="preserve"> ss-lethality/.</w:t>
            </w:r>
          </w:p>
          <w:p w14:paraId="3760967B"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lang w:val="en-US"/>
              </w:rPr>
              <w:t>Juneja, V.J., B.S. Eblen i H.M. Marks. 2001. Modelowanie nieliniowych krzywych przeżycia w celu obliczenia inaktywacji termicznej Salmonelli u drobiu o różnym poziomie tłuszczu (</w:t>
            </w:r>
            <w:r w:rsidRPr="00D17144">
              <w:rPr>
                <w:i/>
                <w:iCs/>
                <w:sz w:val="22"/>
                <w:szCs w:val="22"/>
                <w:lang w:val="en-US"/>
              </w:rPr>
              <w:t>Modeling non-linear survival curves to calculate thermal inactivation of Salmonella in poultry of different fat levels</w:t>
            </w:r>
            <w:r w:rsidRPr="00D17144">
              <w:rPr>
                <w:sz w:val="22"/>
                <w:szCs w:val="22"/>
                <w:lang w:val="en-US"/>
              </w:rPr>
              <w:t xml:space="preserve">), </w:t>
            </w:r>
            <w:r w:rsidRPr="00D17144">
              <w:rPr>
                <w:i/>
                <w:sz w:val="22"/>
                <w:szCs w:val="22"/>
                <w:lang w:val="en-US"/>
              </w:rPr>
              <w:t>Int J Food Microbiol.</w:t>
            </w:r>
            <w:r w:rsidRPr="00D17144">
              <w:rPr>
                <w:sz w:val="22"/>
                <w:szCs w:val="22"/>
                <w:lang w:val="en-US"/>
              </w:rPr>
              <w:t xml:space="preserve"> </w:t>
            </w:r>
            <w:r w:rsidRPr="00D17144">
              <w:rPr>
                <w:sz w:val="22"/>
                <w:szCs w:val="22"/>
              </w:rPr>
              <w:t>70: 37-51.</w:t>
            </w:r>
          </w:p>
          <w:p w14:paraId="0F79B24C"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Dokumentacja potwierdzająca, że wartości D i z produktu są porównywalne z wartościami użytymi w arkuszu kalkulacyjnym AMI. Czynniki, które mogą mieć wpływ na wartości D- i z- obejmują stężenie soli i fosforanów (%), poziom azotynu sodu (ppm), pH produktu i poziom tłuszczu.</w:t>
            </w:r>
          </w:p>
        </w:tc>
        <w:tc>
          <w:tcPr>
            <w:tcW w:w="1423" w:type="pct"/>
            <w:tcBorders>
              <w:top w:val="single" w:sz="4" w:space="0" w:color="auto"/>
              <w:left w:val="single" w:sz="4" w:space="0" w:color="auto"/>
              <w:bottom w:val="single" w:sz="4" w:space="0" w:color="auto"/>
              <w:right w:val="single" w:sz="4" w:space="0" w:color="auto"/>
            </w:tcBorders>
            <w:shd w:val="clear" w:color="auto" w:fill="auto"/>
          </w:tcPr>
          <w:p w14:paraId="4AB9B745"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Zapisy z monitorowania w zakładzie wygenerowane w okresie 90 dni wykazujące, że proces może osiągnąć zakładany czas i temperaturę.</w:t>
            </w:r>
          </w:p>
          <w:p w14:paraId="51B8AB9B"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Zapisy dokumentujące, że zmienność grubości filetów; rozmieszczenie filetów na taśmie przenośnika; prędkość taśmy przenośnika; oraz natężenie przepływu powietrza stosowane w procesie będą konsekwentnie spełniać parametry dla czasu i temperatury.</w:t>
            </w:r>
          </w:p>
          <w:p w14:paraId="349C3579"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Dokumentacja potwierdzająca, że zawartość tłuszczu w produkcie wynosi od 2 do 6,3%.</w:t>
            </w:r>
          </w:p>
          <w:p w14:paraId="67BC2677" w14:textId="77777777" w:rsidR="00632C48" w:rsidRPr="00D17144" w:rsidRDefault="005F6F63" w:rsidP="005F6F63">
            <w:pPr>
              <w:pStyle w:val="Inne0"/>
              <w:framePr w:w="13507" w:h="8688" w:wrap="none" w:vAnchor="page" w:hAnchor="page" w:x="519" w:y="735"/>
              <w:spacing w:after="220"/>
              <w:rPr>
                <w:sz w:val="22"/>
                <w:szCs w:val="22"/>
              </w:rPr>
            </w:pPr>
            <w:r w:rsidRPr="00D17144">
              <w:rPr>
                <w:sz w:val="22"/>
                <w:szCs w:val="22"/>
              </w:rPr>
              <w:t>Dokumentacja wygenerowana w ciągu 90 dni wykazująca, że temperatury termometru suchego i mokrego są zgodne z podanymi w dokumentacji naukowej.</w:t>
            </w:r>
          </w:p>
        </w:tc>
      </w:tr>
    </w:tbl>
    <w:p w14:paraId="3BBFA1A1"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41A86F29" w14:textId="77777777" w:rsidR="00632C48" w:rsidRPr="009301DF" w:rsidRDefault="00632C48">
      <w:pPr>
        <w:spacing w:line="1" w:lineRule="exact"/>
      </w:pPr>
    </w:p>
    <w:tbl>
      <w:tblPr>
        <w:tblOverlap w:val="never"/>
        <w:tblW w:w="5000" w:type="pct"/>
        <w:tblCellMar>
          <w:left w:w="10" w:type="dxa"/>
          <w:right w:w="10" w:type="dxa"/>
        </w:tblCellMar>
        <w:tblLook w:val="04A0" w:firstRow="1" w:lastRow="0" w:firstColumn="1" w:lastColumn="0" w:noHBand="0" w:noVBand="1"/>
      </w:tblPr>
      <w:tblGrid>
        <w:gridCol w:w="1279"/>
        <w:gridCol w:w="1712"/>
        <w:gridCol w:w="1440"/>
        <w:gridCol w:w="2428"/>
        <w:gridCol w:w="2880"/>
        <w:gridCol w:w="3327"/>
      </w:tblGrid>
      <w:tr w:rsidR="00632C48" w:rsidRPr="009301DF" w14:paraId="7AE42BBE" w14:textId="77777777" w:rsidTr="00D17144">
        <w:trPr>
          <w:trHeight w:hRule="exact" w:val="768"/>
        </w:trPr>
        <w:tc>
          <w:tcPr>
            <w:tcW w:w="5000" w:type="pct"/>
            <w:gridSpan w:val="6"/>
            <w:shd w:val="clear" w:color="auto" w:fill="auto"/>
          </w:tcPr>
          <w:p w14:paraId="75BD5148" w14:textId="77777777" w:rsidR="00632C48" w:rsidRPr="00540146" w:rsidRDefault="005F6F63" w:rsidP="00D17144">
            <w:pPr>
              <w:pStyle w:val="Inne0"/>
              <w:framePr w:w="13066" w:h="8861" w:wrap="none" w:vAnchor="page" w:hAnchor="page" w:x="740" w:y="735"/>
              <w:spacing w:after="0"/>
              <w:rPr>
                <w:sz w:val="23"/>
                <w:szCs w:val="23"/>
              </w:rPr>
            </w:pPr>
            <w:r w:rsidRPr="00540146">
              <w:rPr>
                <w:sz w:val="23"/>
                <w:szCs w:val="23"/>
              </w:rPr>
              <w:t>Wyłącznie do celów ilustracyjnych</w:t>
            </w:r>
          </w:p>
        </w:tc>
      </w:tr>
      <w:tr w:rsidR="00632C48" w:rsidRPr="009301DF" w14:paraId="55AB8CDE" w14:textId="77777777" w:rsidTr="00D17144">
        <w:trPr>
          <w:trHeight w:hRule="exact" w:val="649"/>
        </w:trPr>
        <w:tc>
          <w:tcPr>
            <w:tcW w:w="490" w:type="pct"/>
            <w:vMerge w:val="restart"/>
            <w:tcBorders>
              <w:top w:val="single" w:sz="4" w:space="0" w:color="auto"/>
              <w:left w:val="single" w:sz="4" w:space="0" w:color="auto"/>
            </w:tcBorders>
            <w:shd w:val="clear" w:color="auto" w:fill="auto"/>
          </w:tcPr>
          <w:p w14:paraId="1E6F0A24" w14:textId="77777777" w:rsidR="00632C48" w:rsidRPr="009301DF" w:rsidRDefault="005F6F63" w:rsidP="005F6F63">
            <w:pPr>
              <w:pStyle w:val="Inne0"/>
              <w:framePr w:w="13066" w:h="8861" w:wrap="none" w:vAnchor="page" w:hAnchor="page" w:x="740" w:y="735"/>
              <w:spacing w:after="0"/>
            </w:pPr>
            <w:r w:rsidRPr="009301DF">
              <w:t>Produkt</w:t>
            </w:r>
          </w:p>
        </w:tc>
        <w:tc>
          <w:tcPr>
            <w:tcW w:w="655" w:type="pct"/>
            <w:vMerge w:val="restart"/>
            <w:tcBorders>
              <w:top w:val="single" w:sz="4" w:space="0" w:color="auto"/>
              <w:left w:val="single" w:sz="4" w:space="0" w:color="auto"/>
            </w:tcBorders>
            <w:shd w:val="clear" w:color="auto" w:fill="auto"/>
          </w:tcPr>
          <w:p w14:paraId="24E4D322"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Zagrożenie</w:t>
            </w:r>
          </w:p>
        </w:tc>
        <w:tc>
          <w:tcPr>
            <w:tcW w:w="551" w:type="pct"/>
            <w:vMerge w:val="restart"/>
            <w:tcBorders>
              <w:top w:val="single" w:sz="4" w:space="0" w:color="auto"/>
              <w:left w:val="single" w:sz="4" w:space="0" w:color="auto"/>
            </w:tcBorders>
            <w:shd w:val="clear" w:color="auto" w:fill="auto"/>
          </w:tcPr>
          <w:p w14:paraId="798480D6"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Proces</w:t>
            </w:r>
          </w:p>
        </w:tc>
        <w:tc>
          <w:tcPr>
            <w:tcW w:w="929" w:type="pct"/>
            <w:vMerge w:val="restart"/>
            <w:tcBorders>
              <w:top w:val="single" w:sz="4" w:space="0" w:color="auto"/>
              <w:left w:val="single" w:sz="4" w:space="0" w:color="auto"/>
            </w:tcBorders>
            <w:shd w:val="clear" w:color="auto" w:fill="auto"/>
          </w:tcPr>
          <w:p w14:paraId="2CF68F9B" w14:textId="52EA03C2" w:rsidR="00632C48" w:rsidRPr="00540146" w:rsidRDefault="005F6F63" w:rsidP="005F6F63">
            <w:pPr>
              <w:pStyle w:val="Inne0"/>
              <w:framePr w:w="13066" w:h="8861" w:wrap="none" w:vAnchor="page" w:hAnchor="page" w:x="740" w:y="735"/>
              <w:spacing w:after="0"/>
              <w:rPr>
                <w:sz w:val="23"/>
                <w:szCs w:val="23"/>
              </w:rPr>
            </w:pPr>
            <w:r w:rsidRPr="00540146">
              <w:rPr>
                <w:sz w:val="23"/>
                <w:szCs w:val="23"/>
              </w:rPr>
              <w:t>Krytyczne parametry operacyjne</w:t>
            </w:r>
          </w:p>
        </w:tc>
        <w:tc>
          <w:tcPr>
            <w:tcW w:w="2375" w:type="pct"/>
            <w:gridSpan w:val="2"/>
            <w:tcBorders>
              <w:top w:val="single" w:sz="4" w:space="0" w:color="auto"/>
              <w:left w:val="single" w:sz="4" w:space="0" w:color="auto"/>
              <w:right w:val="single" w:sz="4" w:space="0" w:color="auto"/>
            </w:tcBorders>
            <w:shd w:val="clear" w:color="auto" w:fill="auto"/>
          </w:tcPr>
          <w:p w14:paraId="09EFF58B"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Walidacja</w:t>
            </w:r>
          </w:p>
        </w:tc>
      </w:tr>
      <w:tr w:rsidR="00632C48" w:rsidRPr="009301DF" w14:paraId="42EDAE82" w14:textId="77777777" w:rsidTr="00D17144">
        <w:trPr>
          <w:trHeight w:hRule="exact" w:val="902"/>
        </w:trPr>
        <w:tc>
          <w:tcPr>
            <w:tcW w:w="490" w:type="pct"/>
            <w:vMerge/>
            <w:tcBorders>
              <w:left w:val="single" w:sz="4" w:space="0" w:color="auto"/>
            </w:tcBorders>
            <w:shd w:val="clear" w:color="auto" w:fill="auto"/>
          </w:tcPr>
          <w:p w14:paraId="31480368" w14:textId="77777777" w:rsidR="00632C48" w:rsidRPr="009301DF" w:rsidRDefault="00632C48" w:rsidP="005F6F63">
            <w:pPr>
              <w:framePr w:w="13066" w:h="8861" w:wrap="none" w:vAnchor="page" w:hAnchor="page" w:x="740" w:y="735"/>
            </w:pPr>
          </w:p>
        </w:tc>
        <w:tc>
          <w:tcPr>
            <w:tcW w:w="655" w:type="pct"/>
            <w:vMerge/>
            <w:tcBorders>
              <w:left w:val="single" w:sz="4" w:space="0" w:color="auto"/>
            </w:tcBorders>
            <w:shd w:val="clear" w:color="auto" w:fill="auto"/>
          </w:tcPr>
          <w:p w14:paraId="32B76FB1" w14:textId="77777777" w:rsidR="00632C48" w:rsidRPr="00540146" w:rsidRDefault="00632C48" w:rsidP="005F6F63">
            <w:pPr>
              <w:framePr w:w="13066" w:h="8861" w:wrap="none" w:vAnchor="page" w:hAnchor="page" w:x="740" w:y="735"/>
              <w:rPr>
                <w:sz w:val="23"/>
                <w:szCs w:val="23"/>
              </w:rPr>
            </w:pPr>
          </w:p>
        </w:tc>
        <w:tc>
          <w:tcPr>
            <w:tcW w:w="551" w:type="pct"/>
            <w:vMerge/>
            <w:tcBorders>
              <w:left w:val="single" w:sz="4" w:space="0" w:color="auto"/>
            </w:tcBorders>
            <w:shd w:val="clear" w:color="auto" w:fill="auto"/>
          </w:tcPr>
          <w:p w14:paraId="4244BB02" w14:textId="77777777" w:rsidR="00632C48" w:rsidRPr="00540146" w:rsidRDefault="00632C48" w:rsidP="005F6F63">
            <w:pPr>
              <w:framePr w:w="13066" w:h="8861" w:wrap="none" w:vAnchor="page" w:hAnchor="page" w:x="740" w:y="735"/>
              <w:rPr>
                <w:sz w:val="23"/>
                <w:szCs w:val="23"/>
              </w:rPr>
            </w:pPr>
          </w:p>
        </w:tc>
        <w:tc>
          <w:tcPr>
            <w:tcW w:w="929" w:type="pct"/>
            <w:vMerge/>
            <w:tcBorders>
              <w:left w:val="single" w:sz="4" w:space="0" w:color="auto"/>
            </w:tcBorders>
            <w:shd w:val="clear" w:color="auto" w:fill="auto"/>
          </w:tcPr>
          <w:p w14:paraId="61C7102B" w14:textId="77777777" w:rsidR="00632C48" w:rsidRPr="00540146" w:rsidRDefault="00632C48" w:rsidP="005F6F63">
            <w:pPr>
              <w:framePr w:w="13066" w:h="8861" w:wrap="none" w:vAnchor="page" w:hAnchor="page" w:x="740" w:y="735"/>
              <w:rPr>
                <w:sz w:val="23"/>
                <w:szCs w:val="23"/>
              </w:rPr>
            </w:pPr>
          </w:p>
        </w:tc>
        <w:tc>
          <w:tcPr>
            <w:tcW w:w="1102" w:type="pct"/>
            <w:tcBorders>
              <w:top w:val="single" w:sz="4" w:space="0" w:color="auto"/>
              <w:left w:val="single" w:sz="4" w:space="0" w:color="auto"/>
            </w:tcBorders>
            <w:shd w:val="clear" w:color="auto" w:fill="auto"/>
          </w:tcPr>
          <w:p w14:paraId="7E71C097" w14:textId="541A0445" w:rsidR="00632C48" w:rsidRPr="00540146" w:rsidRDefault="005F6F63" w:rsidP="00D17144">
            <w:pPr>
              <w:pStyle w:val="Inne0"/>
              <w:framePr w:w="13066" w:h="8861" w:wrap="none" w:vAnchor="page" w:hAnchor="page" w:x="740" w:y="735"/>
              <w:spacing w:after="0"/>
              <w:rPr>
                <w:sz w:val="23"/>
                <w:szCs w:val="23"/>
              </w:rPr>
            </w:pPr>
            <w:r w:rsidRPr="00540146">
              <w:rPr>
                <w:sz w:val="23"/>
                <w:szCs w:val="23"/>
              </w:rPr>
              <w:t>Wsparcie naukowe lub techniczne</w:t>
            </w:r>
          </w:p>
        </w:tc>
        <w:tc>
          <w:tcPr>
            <w:tcW w:w="1273" w:type="pct"/>
            <w:tcBorders>
              <w:top w:val="single" w:sz="4" w:space="0" w:color="auto"/>
              <w:left w:val="single" w:sz="4" w:space="0" w:color="auto"/>
              <w:right w:val="single" w:sz="4" w:space="0" w:color="auto"/>
            </w:tcBorders>
            <w:shd w:val="clear" w:color="auto" w:fill="auto"/>
          </w:tcPr>
          <w:p w14:paraId="6CF660D5"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Wewnątrzzakładowe dane walidacyjne</w:t>
            </w:r>
          </w:p>
        </w:tc>
      </w:tr>
      <w:tr w:rsidR="00632C48" w:rsidRPr="009301DF" w14:paraId="62457862" w14:textId="77777777" w:rsidTr="00D17144">
        <w:trPr>
          <w:trHeight w:hRule="exact" w:val="7903"/>
        </w:trPr>
        <w:tc>
          <w:tcPr>
            <w:tcW w:w="490" w:type="pct"/>
            <w:tcBorders>
              <w:top w:val="single" w:sz="4" w:space="0" w:color="auto"/>
              <w:left w:val="single" w:sz="4" w:space="0" w:color="auto"/>
              <w:bottom w:val="single" w:sz="4" w:space="0" w:color="auto"/>
            </w:tcBorders>
            <w:shd w:val="clear" w:color="auto" w:fill="auto"/>
          </w:tcPr>
          <w:p w14:paraId="334C970E" w14:textId="77777777" w:rsidR="00632C48" w:rsidRPr="009301DF" w:rsidRDefault="005F6F63" w:rsidP="005F6F63">
            <w:pPr>
              <w:pStyle w:val="Inne0"/>
              <w:framePr w:w="13066" w:h="8861" w:wrap="none" w:vAnchor="page" w:hAnchor="page" w:x="740" w:y="735"/>
              <w:spacing w:after="0"/>
            </w:pPr>
            <w:r w:rsidRPr="009301DF">
              <w:t>W pełni ugotowana pieczeń wołowa</w:t>
            </w:r>
          </w:p>
        </w:tc>
        <w:tc>
          <w:tcPr>
            <w:tcW w:w="655" w:type="pct"/>
            <w:tcBorders>
              <w:top w:val="single" w:sz="4" w:space="0" w:color="auto"/>
              <w:left w:val="single" w:sz="4" w:space="0" w:color="auto"/>
              <w:bottom w:val="single" w:sz="4" w:space="0" w:color="auto"/>
            </w:tcBorders>
            <w:shd w:val="clear" w:color="auto" w:fill="auto"/>
          </w:tcPr>
          <w:p w14:paraId="1C4BC828"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 xml:space="preserve">Biologiczne - </w:t>
            </w:r>
            <w:r w:rsidRPr="00540146">
              <w:rPr>
                <w:i/>
                <w:sz w:val="23"/>
                <w:szCs w:val="23"/>
              </w:rPr>
              <w:t>Salmonella</w:t>
            </w:r>
            <w:r w:rsidRPr="00540146">
              <w:rPr>
                <w:sz w:val="23"/>
                <w:szCs w:val="23"/>
              </w:rPr>
              <w:t xml:space="preserve">, </w:t>
            </w:r>
            <w:r w:rsidRPr="00540146">
              <w:rPr>
                <w:i/>
                <w:sz w:val="23"/>
                <w:szCs w:val="23"/>
              </w:rPr>
              <w:t xml:space="preserve">E. coli </w:t>
            </w:r>
            <w:r w:rsidRPr="00540146">
              <w:rPr>
                <w:sz w:val="23"/>
                <w:szCs w:val="23"/>
              </w:rPr>
              <w:t>O157:H7</w:t>
            </w:r>
          </w:p>
        </w:tc>
        <w:tc>
          <w:tcPr>
            <w:tcW w:w="551" w:type="pct"/>
            <w:tcBorders>
              <w:top w:val="single" w:sz="4" w:space="0" w:color="auto"/>
              <w:left w:val="single" w:sz="4" w:space="0" w:color="auto"/>
              <w:bottom w:val="single" w:sz="4" w:space="0" w:color="auto"/>
            </w:tcBorders>
            <w:shd w:val="clear" w:color="auto" w:fill="auto"/>
          </w:tcPr>
          <w:p w14:paraId="1E065B61" w14:textId="418137FF" w:rsidR="00632C48" w:rsidRPr="00540146" w:rsidRDefault="005F6F63" w:rsidP="005F6F63">
            <w:pPr>
              <w:pStyle w:val="Inne0"/>
              <w:framePr w:w="13066" w:h="8861" w:wrap="none" w:vAnchor="page" w:hAnchor="page" w:x="740" w:y="735"/>
              <w:spacing w:after="0"/>
              <w:rPr>
                <w:sz w:val="23"/>
                <w:szCs w:val="23"/>
              </w:rPr>
            </w:pPr>
            <w:r w:rsidRPr="00540146">
              <w:rPr>
                <w:sz w:val="23"/>
                <w:szCs w:val="23"/>
              </w:rPr>
              <w:t>Gotowanie produktu</w:t>
            </w:r>
          </w:p>
        </w:tc>
        <w:tc>
          <w:tcPr>
            <w:tcW w:w="929" w:type="pct"/>
            <w:tcBorders>
              <w:top w:val="single" w:sz="4" w:space="0" w:color="auto"/>
              <w:left w:val="single" w:sz="4" w:space="0" w:color="auto"/>
              <w:bottom w:val="single" w:sz="4" w:space="0" w:color="auto"/>
            </w:tcBorders>
            <w:shd w:val="clear" w:color="auto" w:fill="auto"/>
          </w:tcPr>
          <w:p w14:paraId="74EC499D" w14:textId="77777777" w:rsidR="00632C48" w:rsidRPr="00540146" w:rsidRDefault="005F6F63" w:rsidP="005F6F63">
            <w:pPr>
              <w:pStyle w:val="Inne0"/>
              <w:framePr w:w="13066" w:h="8861" w:wrap="none" w:vAnchor="page" w:hAnchor="page" w:x="740" w:y="735"/>
              <w:rPr>
                <w:sz w:val="23"/>
                <w:szCs w:val="23"/>
              </w:rPr>
            </w:pPr>
            <w:r w:rsidRPr="00540146">
              <w:rPr>
                <w:sz w:val="23"/>
                <w:szCs w:val="23"/>
              </w:rPr>
              <w:t>Temperatura wewnętrzna 130°F przez minimum 112 minut.</w:t>
            </w:r>
          </w:p>
          <w:p w14:paraId="27D100C6"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Wilgotność względna &gt; 90% przez co najmniej 25% czasu gotowania i w żadnym wypadku nie krócej niż jedną godzinę.</w:t>
            </w:r>
          </w:p>
        </w:tc>
        <w:tc>
          <w:tcPr>
            <w:tcW w:w="1102" w:type="pct"/>
            <w:tcBorders>
              <w:top w:val="single" w:sz="4" w:space="0" w:color="auto"/>
              <w:left w:val="single" w:sz="4" w:space="0" w:color="auto"/>
              <w:bottom w:val="single" w:sz="4" w:space="0" w:color="auto"/>
            </w:tcBorders>
            <w:shd w:val="clear" w:color="auto" w:fill="auto"/>
          </w:tcPr>
          <w:p w14:paraId="181785C5" w14:textId="77777777" w:rsidR="00632C48" w:rsidRPr="00540146" w:rsidRDefault="005F6F63" w:rsidP="005F6F63">
            <w:pPr>
              <w:pStyle w:val="Inne0"/>
              <w:framePr w:w="13066" w:h="8861" w:wrap="none" w:vAnchor="page" w:hAnchor="page" w:x="740" w:y="735"/>
              <w:rPr>
                <w:sz w:val="23"/>
                <w:szCs w:val="23"/>
              </w:rPr>
            </w:pPr>
            <w:r w:rsidRPr="00540146">
              <w:rPr>
                <w:sz w:val="23"/>
                <w:szCs w:val="23"/>
              </w:rPr>
              <w:t xml:space="preserve">FSIS. 1999. </w:t>
            </w:r>
            <w:r w:rsidRPr="00540146">
              <w:rPr>
                <w:i/>
                <w:sz w:val="23"/>
                <w:szCs w:val="23"/>
              </w:rPr>
              <w:t>Dodatek A do Wytycznych dotyczących zgodności w zakresie spełniania norm śmiertelności dla niektórych produktów mięsnych i drobiowych.</w:t>
            </w:r>
            <w:r w:rsidRPr="00540146">
              <w:rPr>
                <w:sz w:val="23"/>
                <w:szCs w:val="23"/>
              </w:rPr>
              <w:t xml:space="preserve"> Dostępny pod adresem: </w:t>
            </w:r>
            <w:hyperlink r:id="rId107" w:history="1">
              <w:r w:rsidRPr="00540146">
                <w:rPr>
                  <w:sz w:val="23"/>
                  <w:szCs w:val="23"/>
                </w:rPr>
                <w:t>http://www.fsis.usda.gov/</w:t>
              </w:r>
            </w:hyperlink>
            <w:r w:rsidRPr="00540146">
              <w:rPr>
                <w:sz w:val="23"/>
                <w:szCs w:val="23"/>
              </w:rPr>
              <w:t xml:space="preserve"> wps/wcm/connect/212e4 0b3-b59d-43aa-882e- e5431ea7035f/95033F- a.pdf?MOD=AJPERES.</w:t>
            </w:r>
          </w:p>
          <w:p w14:paraId="5973A83D"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 xml:space="preserve">Doyle, M.P. i J.L. Schoeni. 1984. Charakterystyka przeżywalności i wzrostu </w:t>
            </w:r>
            <w:r w:rsidRPr="00540146">
              <w:rPr>
                <w:i/>
                <w:sz w:val="23"/>
                <w:szCs w:val="23"/>
              </w:rPr>
              <w:t xml:space="preserve">bakterii Escherichia coli </w:t>
            </w:r>
            <w:r w:rsidRPr="00540146">
              <w:rPr>
                <w:sz w:val="23"/>
                <w:szCs w:val="23"/>
              </w:rPr>
              <w:t>związanych z krwotocznym zapaleniem jelita grubego (</w:t>
            </w:r>
            <w:r w:rsidRPr="00540146">
              <w:rPr>
                <w:i/>
                <w:iCs/>
                <w:sz w:val="23"/>
                <w:szCs w:val="23"/>
              </w:rPr>
              <w:t>Survival and growth characteristics of Escherichia coli associated with hemorrhagic colitis</w:t>
            </w:r>
            <w:r w:rsidRPr="00540146">
              <w:rPr>
                <w:sz w:val="23"/>
                <w:szCs w:val="23"/>
              </w:rPr>
              <w:t>).</w:t>
            </w:r>
          </w:p>
          <w:p w14:paraId="450A058D" w14:textId="77777777" w:rsidR="00632C48" w:rsidRPr="00540146" w:rsidRDefault="005F6F63" w:rsidP="005F6F63">
            <w:pPr>
              <w:pStyle w:val="Inne0"/>
              <w:framePr w:w="13066" w:h="8861" w:wrap="none" w:vAnchor="page" w:hAnchor="page" w:x="740" w:y="735"/>
              <w:spacing w:after="0"/>
              <w:rPr>
                <w:sz w:val="23"/>
                <w:szCs w:val="23"/>
              </w:rPr>
            </w:pPr>
            <w:r w:rsidRPr="00540146">
              <w:rPr>
                <w:i/>
                <w:sz w:val="23"/>
                <w:szCs w:val="23"/>
              </w:rPr>
              <w:t>Appl. Environ. Microbiol</w:t>
            </w:r>
            <w:r w:rsidRPr="00540146">
              <w:rPr>
                <w:sz w:val="23"/>
                <w:szCs w:val="23"/>
              </w:rPr>
              <w:t>. 48-855-856</w:t>
            </w:r>
          </w:p>
        </w:tc>
        <w:tc>
          <w:tcPr>
            <w:tcW w:w="1273" w:type="pct"/>
            <w:tcBorders>
              <w:top w:val="single" w:sz="4" w:space="0" w:color="auto"/>
              <w:left w:val="single" w:sz="4" w:space="0" w:color="auto"/>
              <w:bottom w:val="single" w:sz="4" w:space="0" w:color="auto"/>
              <w:right w:val="single" w:sz="4" w:space="0" w:color="auto"/>
            </w:tcBorders>
            <w:shd w:val="clear" w:color="auto" w:fill="auto"/>
          </w:tcPr>
          <w:p w14:paraId="2C83C073" w14:textId="77777777" w:rsidR="00632C48" w:rsidRPr="00540146" w:rsidRDefault="005F6F63" w:rsidP="005F6F63">
            <w:pPr>
              <w:pStyle w:val="Inne0"/>
              <w:framePr w:w="13066" w:h="8861" w:wrap="none" w:vAnchor="page" w:hAnchor="page" w:x="740" w:y="735"/>
              <w:rPr>
                <w:sz w:val="23"/>
                <w:szCs w:val="23"/>
              </w:rPr>
            </w:pPr>
            <w:r w:rsidRPr="00540146">
              <w:rPr>
                <w:sz w:val="23"/>
                <w:szCs w:val="23"/>
              </w:rPr>
              <w:t>Zapisy z monitoringu w zakładzie za okres 90 dni wskazują, że osiągnięto minimalną temperaturę wewnętrzną 130° F przez 112 minut</w:t>
            </w:r>
          </w:p>
          <w:p w14:paraId="557AC787" w14:textId="77777777" w:rsidR="00632C48" w:rsidRPr="00540146" w:rsidRDefault="005F6F63" w:rsidP="005F6F63">
            <w:pPr>
              <w:pStyle w:val="Inne0"/>
              <w:framePr w:w="13066" w:h="8861" w:wrap="none" w:vAnchor="page" w:hAnchor="page" w:x="740" w:y="735"/>
              <w:spacing w:after="0"/>
              <w:rPr>
                <w:sz w:val="23"/>
                <w:szCs w:val="23"/>
              </w:rPr>
            </w:pPr>
            <w:r w:rsidRPr="00540146">
              <w:rPr>
                <w:sz w:val="23"/>
                <w:szCs w:val="23"/>
              </w:rPr>
              <w:t>Zapisy z monitoringu w zakładzie za okres 90 dni wykazujące użycie suchych i mokrych termometrów do obliczania wilgotności względnej lub użycie czujnika wilgotności do pomiaru wilgotności względnej podczas gotowania. Zapisy powinny wskazywać, że wilgotność może być utrzymywana na poziomie &gt; 90% przez co najmniej 25% czasu gotowania, a w żadnym wypadku nie krócej niż jedną godzinę, przy użyciu wtrysku pary.</w:t>
            </w:r>
          </w:p>
        </w:tc>
      </w:tr>
    </w:tbl>
    <w:p w14:paraId="1E28287C" w14:textId="77777777" w:rsidR="00632C48" w:rsidRPr="009301DF" w:rsidRDefault="00632C48">
      <w:pPr>
        <w:spacing w:line="1" w:lineRule="exact"/>
        <w:sectPr w:rsidR="00632C48" w:rsidRPr="009301DF">
          <w:pgSz w:w="15840" w:h="12240" w:orient="landscape"/>
          <w:pgMar w:top="360" w:right="360" w:bottom="360" w:left="360" w:header="0" w:footer="3" w:gutter="0"/>
          <w:cols w:space="720"/>
          <w:noEndnote/>
          <w:docGrid w:linePitch="360"/>
        </w:sectPr>
      </w:pPr>
    </w:p>
    <w:p w14:paraId="05A5F192" w14:textId="77777777" w:rsidR="00632C48" w:rsidRPr="009301DF" w:rsidRDefault="00632C48">
      <w:pPr>
        <w:spacing w:line="1" w:lineRule="exact"/>
      </w:pPr>
    </w:p>
    <w:p w14:paraId="4A311D52" w14:textId="77777777" w:rsidR="00632C48" w:rsidRPr="009301DF" w:rsidRDefault="005F6F63" w:rsidP="007C1C8A">
      <w:pPr>
        <w:pStyle w:val="Nagwek10"/>
        <w:framePr w:w="9509" w:h="13421" w:hRule="exact" w:wrap="none" w:vAnchor="page" w:hAnchor="page" w:x="1482" w:y="938"/>
        <w:spacing w:after="320"/>
      </w:pPr>
      <w:bookmarkStart w:id="24" w:name="bookmark44"/>
      <w:r w:rsidRPr="009301DF">
        <w:t>Dodatek 5: Wskazówki dla zakładów, które nie posiadają już danych walidacyjnych</w:t>
      </w:r>
      <w:bookmarkEnd w:id="24"/>
    </w:p>
    <w:p w14:paraId="593E9DDE" w14:textId="77777777" w:rsidR="00632C48" w:rsidRPr="00540146" w:rsidRDefault="005F6F63" w:rsidP="007C1C8A">
      <w:pPr>
        <w:pStyle w:val="Teksttreci0"/>
        <w:framePr w:w="9509" w:h="13421" w:hRule="exact" w:wrap="none" w:vAnchor="page" w:hAnchor="page" w:x="1482" w:y="938"/>
        <w:rPr>
          <w:sz w:val="23"/>
          <w:szCs w:val="23"/>
        </w:rPr>
      </w:pPr>
      <w:r w:rsidRPr="00540146">
        <w:rPr>
          <w:sz w:val="23"/>
          <w:szCs w:val="23"/>
        </w:rPr>
        <w:t>FSIS zdaje sobie sprawę, że niektóre zakłady mogły nie zachować swoich wstępnych danych z walidacji w zakładzie z czasu pierwotnego wdrożenia HACCP. Dokumenty te obejmują na przykład 90-dniową dokumentację produkcyjną i wszelkie dodatkowe dane zebrane w celu wykazania, że zakład jest w stanie skutecznie realizować krytyczne parametry operacyjne swojego systemu, jak opisano poniżej. Zakłady, które nie prowadziły dokumentacji, będą miały czas na zebranie danych walidacyjnych w zakładzie.</w:t>
      </w:r>
    </w:p>
    <w:p w14:paraId="523B27A3" w14:textId="77777777" w:rsidR="00632C48" w:rsidRPr="00540146" w:rsidRDefault="005F6F63" w:rsidP="007C1C8A">
      <w:pPr>
        <w:pStyle w:val="Teksttreci0"/>
        <w:framePr w:w="9509" w:h="13421" w:hRule="exact" w:wrap="none" w:vAnchor="page" w:hAnchor="page" w:x="1482" w:y="938"/>
        <w:rPr>
          <w:sz w:val="23"/>
          <w:szCs w:val="23"/>
        </w:rPr>
      </w:pPr>
      <w:r w:rsidRPr="00540146">
        <w:rPr>
          <w:sz w:val="23"/>
          <w:szCs w:val="23"/>
        </w:rPr>
        <w:t>W przypadku dużych zakładów, FSIS poczeka do 4 stycznia 2016 r. przed włączeniem weryfikacji, czy zakłady spełniły drugi element walidacji (dane walidacyjne zakładu) w ramach swoich działań kontrolnych. W związku z tym duże zakłady będą miały sześć miesięcy na zebranie wszystkich niezbędnych wewnątrzzakładowych dokumentów walidacyjnych.</w:t>
      </w:r>
    </w:p>
    <w:p w14:paraId="426C77D3" w14:textId="77777777" w:rsidR="00632C48" w:rsidRPr="00540146" w:rsidRDefault="005F6F63" w:rsidP="007C1C8A">
      <w:pPr>
        <w:pStyle w:val="Teksttreci0"/>
        <w:framePr w:w="9509" w:h="13421" w:hRule="exact" w:wrap="none" w:vAnchor="page" w:hAnchor="page" w:x="1482" w:y="938"/>
        <w:rPr>
          <w:sz w:val="23"/>
          <w:szCs w:val="23"/>
        </w:rPr>
      </w:pPr>
      <w:r w:rsidRPr="00540146">
        <w:rPr>
          <w:sz w:val="23"/>
          <w:szCs w:val="23"/>
        </w:rPr>
        <w:t>Małe i bardzo małe zakłady będą miały czas do 4 kwietnia 2016 r. na zebranie wszystkich niezbędnych wewnątrzzakładowych danych walidacyjnych, zanim FSIS zweryfikuje i wyegzekwuje drugi element walidacji (dane walidacyjne w zakładzie).</w:t>
      </w:r>
    </w:p>
    <w:p w14:paraId="563DAACC" w14:textId="77777777" w:rsidR="00632C48" w:rsidRPr="00540146" w:rsidRDefault="005F6F63" w:rsidP="007C1C8A">
      <w:pPr>
        <w:pStyle w:val="Teksttreci0"/>
        <w:framePr w:w="9509" w:h="13421" w:hRule="exact" w:wrap="none" w:vAnchor="page" w:hAnchor="page" w:x="1482" w:y="938"/>
        <w:rPr>
          <w:sz w:val="23"/>
          <w:szCs w:val="23"/>
        </w:rPr>
      </w:pPr>
      <w:r w:rsidRPr="00540146">
        <w:rPr>
          <w:sz w:val="23"/>
          <w:szCs w:val="23"/>
        </w:rPr>
        <w:t>Takie dokumenty mogą obejmować zapisy HACCP, które są już generowane w ramach monitorowania limitów krytycznych lub parametrów programów warunków wstępnych. Przykłady dokumentów, które mogą być wykorzystywane przez istniejące zakłady, które nie posiadają już danych walidacyjnych obejmują:</w:t>
      </w:r>
    </w:p>
    <w:p w14:paraId="16CE4973" w14:textId="6B966AD9" w:rsidR="00632C48" w:rsidRPr="00540146" w:rsidRDefault="005F6F63" w:rsidP="007C1C8A">
      <w:pPr>
        <w:pStyle w:val="Teksttreci0"/>
        <w:framePr w:w="9509" w:h="13421" w:hRule="exact" w:wrap="none" w:vAnchor="page" w:hAnchor="page" w:x="1482" w:y="938"/>
        <w:numPr>
          <w:ilvl w:val="0"/>
          <w:numId w:val="6"/>
        </w:numPr>
        <w:spacing w:after="0"/>
        <w:rPr>
          <w:sz w:val="23"/>
          <w:szCs w:val="23"/>
        </w:rPr>
      </w:pPr>
      <w:r w:rsidRPr="00540146">
        <w:rPr>
          <w:sz w:val="23"/>
          <w:szCs w:val="23"/>
        </w:rPr>
        <w:t>Zapisy HACCP zebrane w ciągu 90 dni, kiedy działa obecny system HACCP.</w:t>
      </w:r>
    </w:p>
    <w:p w14:paraId="02E4857E" w14:textId="048DF368" w:rsidR="00632C48" w:rsidRPr="00540146" w:rsidRDefault="005F6F63" w:rsidP="007C1C8A">
      <w:pPr>
        <w:pStyle w:val="Teksttreci0"/>
        <w:framePr w:w="9509" w:h="13421" w:hRule="exact" w:wrap="none" w:vAnchor="page" w:hAnchor="page" w:x="1482" w:y="938"/>
        <w:numPr>
          <w:ilvl w:val="0"/>
          <w:numId w:val="6"/>
        </w:numPr>
        <w:spacing w:after="0"/>
        <w:rPr>
          <w:sz w:val="23"/>
          <w:szCs w:val="23"/>
        </w:rPr>
      </w:pPr>
      <w:r w:rsidRPr="00540146">
        <w:rPr>
          <w:sz w:val="23"/>
          <w:szCs w:val="23"/>
        </w:rPr>
        <w:t>Dokumenty decyzyjne związane z metodami gromadzenia danych CCP i krytycznych parametrów operacyjnych.</w:t>
      </w:r>
    </w:p>
    <w:p w14:paraId="13E1D58B" w14:textId="54BF97E6" w:rsidR="00632C48" w:rsidRPr="00540146" w:rsidRDefault="005F6F63" w:rsidP="007C1C8A">
      <w:pPr>
        <w:pStyle w:val="Teksttreci0"/>
        <w:framePr w:w="9509" w:h="13421" w:hRule="exact" w:wrap="none" w:vAnchor="page" w:hAnchor="page" w:x="1482" w:y="938"/>
        <w:numPr>
          <w:ilvl w:val="0"/>
          <w:numId w:val="6"/>
        </w:numPr>
        <w:spacing w:after="0"/>
        <w:rPr>
          <w:sz w:val="23"/>
          <w:szCs w:val="23"/>
        </w:rPr>
      </w:pPr>
      <w:r w:rsidRPr="00540146">
        <w:rPr>
          <w:sz w:val="23"/>
          <w:szCs w:val="23"/>
        </w:rPr>
        <w:t>Zapisy związane z początkową konfiguracją lub kalibracją sprzętu, które zawierają dane dotyczące dodatkowych krytycznych parametrów operacyjnych, które nie stały się CCP, aby potwierdzić, że parametry zostały spełnione podczas początkowej konfiguracji.</w:t>
      </w:r>
    </w:p>
    <w:p w14:paraId="59C9F3C3" w14:textId="55333875" w:rsidR="00632C48" w:rsidRPr="00540146" w:rsidRDefault="005F6F63" w:rsidP="007C1C8A">
      <w:pPr>
        <w:pStyle w:val="Teksttreci0"/>
        <w:framePr w:w="9509" w:h="13421" w:hRule="exact" w:wrap="none" w:vAnchor="page" w:hAnchor="page" w:x="1482" w:y="938"/>
        <w:numPr>
          <w:ilvl w:val="0"/>
          <w:numId w:val="6"/>
        </w:numPr>
        <w:spacing w:line="262" w:lineRule="auto"/>
        <w:rPr>
          <w:sz w:val="23"/>
          <w:szCs w:val="23"/>
        </w:rPr>
      </w:pPr>
      <w:r w:rsidRPr="00540146">
        <w:rPr>
          <w:sz w:val="23"/>
          <w:szCs w:val="23"/>
        </w:rPr>
        <w:t>Wszelkie wyniki dla pobranych w zakładzie próbek dla produktu i procesu będącego przedmiotem zainteresowania.</w:t>
      </w:r>
    </w:p>
    <w:p w14:paraId="33996E83" w14:textId="77777777" w:rsidR="00632C48" w:rsidRPr="00540146" w:rsidRDefault="005F6F63" w:rsidP="007C1C8A">
      <w:pPr>
        <w:pStyle w:val="Teksttreci0"/>
        <w:framePr w:w="9509" w:h="13421" w:hRule="exact" w:wrap="none" w:vAnchor="page" w:hAnchor="page" w:x="1482" w:y="938"/>
        <w:spacing w:after="0"/>
        <w:rPr>
          <w:sz w:val="23"/>
          <w:szCs w:val="23"/>
        </w:rPr>
      </w:pPr>
      <w:r w:rsidRPr="00540146">
        <w:rPr>
          <w:sz w:val="23"/>
          <w:szCs w:val="23"/>
        </w:rPr>
        <w:t>Zakłady powinny dokonać przeglądu już zgromadzonych w zakładzie danych walidacyjnych, aby upewnić się, że nadal potwierdzają one spełnianie krytycznych parametrów operacyjnych określonych w dokumentacji naukowej. Jeśli dokumenty te nie odnoszą się do wszystkich krytycznych parametrów operacyjnych określonych we wsparciu naukowym lub technicznym, konieczne może być wygenerowanie dodatkowych danych w celu wykazania, że parametry te mogą być prawidłowo wdrożone. Zakłady mogą również skorzystać z samooceny wstępnej walidacji HACCP przedstawionej na stronie 34 w celu sprawdzenia, czy system HACCP został prawidłowo zaprojektowany za pierwszym razem.</w:t>
      </w:r>
    </w:p>
    <w:p w14:paraId="203155EF" w14:textId="77777777" w:rsidR="00632C48" w:rsidRPr="009301DF" w:rsidRDefault="00632C48">
      <w:pPr>
        <w:spacing w:line="1" w:lineRule="exact"/>
        <w:sectPr w:rsidR="00632C48" w:rsidRPr="009301DF">
          <w:pgSz w:w="12485" w:h="16357"/>
          <w:pgMar w:top="360" w:right="360" w:bottom="360" w:left="360" w:header="0" w:footer="3" w:gutter="0"/>
          <w:cols w:space="720"/>
          <w:noEndnote/>
          <w:docGrid w:linePitch="360"/>
        </w:sectPr>
      </w:pPr>
    </w:p>
    <w:p w14:paraId="1FBA6A19" w14:textId="77777777" w:rsidR="00632C48" w:rsidRPr="009301DF" w:rsidRDefault="00632C48">
      <w:pPr>
        <w:spacing w:line="1" w:lineRule="exact"/>
      </w:pPr>
    </w:p>
    <w:p w14:paraId="4D85045E" w14:textId="77777777" w:rsidR="00632C48" w:rsidRPr="009301DF" w:rsidRDefault="005F6F63">
      <w:pPr>
        <w:framePr w:wrap="none" w:vAnchor="page" w:hAnchor="page" w:x="2427" w:y="2098"/>
        <w:rPr>
          <w:sz w:val="2"/>
          <w:szCs w:val="2"/>
        </w:rPr>
      </w:pPr>
      <w:r w:rsidRPr="009301DF">
        <w:rPr>
          <w:noProof/>
        </w:rPr>
        <w:drawing>
          <wp:inline distT="0" distB="0" distL="0" distR="0" wp14:anchorId="7DEAA7E8" wp14:editId="2E386718">
            <wp:extent cx="5050790" cy="7165975"/>
            <wp:effectExtent l="0" t="0" r="0" b="0"/>
            <wp:docPr id="39" name="Picut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08"/>
                    <a:stretch/>
                  </pic:blipFill>
                  <pic:spPr>
                    <a:xfrm>
                      <a:off x="0" y="0"/>
                      <a:ext cx="5050790" cy="7165975"/>
                    </a:xfrm>
                    <a:prstGeom prst="rect">
                      <a:avLst/>
                    </a:prstGeom>
                  </pic:spPr>
                </pic:pic>
              </a:graphicData>
            </a:graphic>
          </wp:inline>
        </w:drawing>
      </w:r>
    </w:p>
    <w:p w14:paraId="03056856" w14:textId="77777777" w:rsidR="00632C48" w:rsidRPr="009301DF" w:rsidRDefault="00632C48">
      <w:pPr>
        <w:spacing w:line="1" w:lineRule="exact"/>
      </w:pPr>
    </w:p>
    <w:sectPr w:rsidR="00632C48" w:rsidRPr="009301DF">
      <w:pgSz w:w="12485" w:h="16357"/>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9906A" w14:textId="77777777" w:rsidR="00F34A20" w:rsidRDefault="00F34A20">
      <w:r>
        <w:separator/>
      </w:r>
    </w:p>
  </w:endnote>
  <w:endnote w:type="continuationSeparator" w:id="0">
    <w:p w14:paraId="5CD0D522" w14:textId="77777777" w:rsidR="00F34A20" w:rsidRDefault="00F3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4A340" w14:textId="77777777" w:rsidR="00F34A20" w:rsidRDefault="00F34A20"/>
  </w:footnote>
  <w:footnote w:type="continuationSeparator" w:id="0">
    <w:p w14:paraId="75E72C02" w14:textId="77777777" w:rsidR="00F34A20" w:rsidRDefault="00F34A2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0268B"/>
    <w:multiLevelType w:val="hybridMultilevel"/>
    <w:tmpl w:val="C0900D7E"/>
    <w:lvl w:ilvl="0" w:tplc="3C18E416">
      <w:start w:val="1"/>
      <w:numFmt w:val="decimal"/>
      <w:lvlText w:val="%1."/>
      <w:lvlJc w:val="left"/>
      <w:pPr>
        <w:ind w:left="800" w:hanging="360"/>
      </w:pPr>
      <w:rPr>
        <w:rFonts w:hint="default"/>
      </w:rPr>
    </w:lvl>
    <w:lvl w:ilvl="1" w:tplc="04150019" w:tentative="1">
      <w:start w:val="1"/>
      <w:numFmt w:val="lowerLetter"/>
      <w:lvlText w:val="%2."/>
      <w:lvlJc w:val="left"/>
      <w:pPr>
        <w:ind w:left="1520" w:hanging="360"/>
      </w:pPr>
    </w:lvl>
    <w:lvl w:ilvl="2" w:tplc="0415001B" w:tentative="1">
      <w:start w:val="1"/>
      <w:numFmt w:val="lowerRoman"/>
      <w:lvlText w:val="%3."/>
      <w:lvlJc w:val="right"/>
      <w:pPr>
        <w:ind w:left="2240" w:hanging="180"/>
      </w:pPr>
    </w:lvl>
    <w:lvl w:ilvl="3" w:tplc="0415000F" w:tentative="1">
      <w:start w:val="1"/>
      <w:numFmt w:val="decimal"/>
      <w:lvlText w:val="%4."/>
      <w:lvlJc w:val="left"/>
      <w:pPr>
        <w:ind w:left="2960" w:hanging="360"/>
      </w:pPr>
    </w:lvl>
    <w:lvl w:ilvl="4" w:tplc="04150019" w:tentative="1">
      <w:start w:val="1"/>
      <w:numFmt w:val="lowerLetter"/>
      <w:lvlText w:val="%5."/>
      <w:lvlJc w:val="left"/>
      <w:pPr>
        <w:ind w:left="3680" w:hanging="360"/>
      </w:pPr>
    </w:lvl>
    <w:lvl w:ilvl="5" w:tplc="0415001B" w:tentative="1">
      <w:start w:val="1"/>
      <w:numFmt w:val="lowerRoman"/>
      <w:lvlText w:val="%6."/>
      <w:lvlJc w:val="right"/>
      <w:pPr>
        <w:ind w:left="4400" w:hanging="180"/>
      </w:pPr>
    </w:lvl>
    <w:lvl w:ilvl="6" w:tplc="0415000F" w:tentative="1">
      <w:start w:val="1"/>
      <w:numFmt w:val="decimal"/>
      <w:lvlText w:val="%7."/>
      <w:lvlJc w:val="left"/>
      <w:pPr>
        <w:ind w:left="5120" w:hanging="360"/>
      </w:pPr>
    </w:lvl>
    <w:lvl w:ilvl="7" w:tplc="04150019" w:tentative="1">
      <w:start w:val="1"/>
      <w:numFmt w:val="lowerLetter"/>
      <w:lvlText w:val="%8."/>
      <w:lvlJc w:val="left"/>
      <w:pPr>
        <w:ind w:left="5840" w:hanging="360"/>
      </w:pPr>
    </w:lvl>
    <w:lvl w:ilvl="8" w:tplc="0415001B" w:tentative="1">
      <w:start w:val="1"/>
      <w:numFmt w:val="lowerRoman"/>
      <w:lvlText w:val="%9."/>
      <w:lvlJc w:val="right"/>
      <w:pPr>
        <w:ind w:left="6560" w:hanging="180"/>
      </w:pPr>
    </w:lvl>
  </w:abstractNum>
  <w:abstractNum w:abstractNumId="1" w15:restartNumberingAfterBreak="0">
    <w:nsid w:val="0BF56E96"/>
    <w:multiLevelType w:val="hybridMultilevel"/>
    <w:tmpl w:val="6CE8A25E"/>
    <w:lvl w:ilvl="0" w:tplc="1144C370">
      <w:numFmt w:val="bullet"/>
      <w:lvlText w:val="•"/>
      <w:lvlJc w:val="left"/>
      <w:pPr>
        <w:ind w:left="1540" w:hanging="360"/>
      </w:pPr>
      <w:rPr>
        <w:rFonts w:ascii="Arial" w:eastAsia="Arial" w:hAnsi="Arial" w:cs="Arial" w:hint="default"/>
        <w:sz w:val="22"/>
      </w:rPr>
    </w:lvl>
    <w:lvl w:ilvl="1" w:tplc="04150003" w:tentative="1">
      <w:start w:val="1"/>
      <w:numFmt w:val="bullet"/>
      <w:lvlText w:val="o"/>
      <w:lvlJc w:val="left"/>
      <w:pPr>
        <w:ind w:left="2020" w:hanging="360"/>
      </w:pPr>
      <w:rPr>
        <w:rFonts w:ascii="Courier New" w:hAnsi="Courier New" w:cs="Courier New" w:hint="default"/>
      </w:rPr>
    </w:lvl>
    <w:lvl w:ilvl="2" w:tplc="04150005" w:tentative="1">
      <w:start w:val="1"/>
      <w:numFmt w:val="bullet"/>
      <w:lvlText w:val=""/>
      <w:lvlJc w:val="left"/>
      <w:pPr>
        <w:ind w:left="2740" w:hanging="360"/>
      </w:pPr>
      <w:rPr>
        <w:rFonts w:ascii="Wingdings" w:hAnsi="Wingdings" w:hint="default"/>
      </w:rPr>
    </w:lvl>
    <w:lvl w:ilvl="3" w:tplc="04150001" w:tentative="1">
      <w:start w:val="1"/>
      <w:numFmt w:val="bullet"/>
      <w:lvlText w:val=""/>
      <w:lvlJc w:val="left"/>
      <w:pPr>
        <w:ind w:left="3460" w:hanging="360"/>
      </w:pPr>
      <w:rPr>
        <w:rFonts w:ascii="Symbol" w:hAnsi="Symbol" w:hint="default"/>
      </w:rPr>
    </w:lvl>
    <w:lvl w:ilvl="4" w:tplc="04150003" w:tentative="1">
      <w:start w:val="1"/>
      <w:numFmt w:val="bullet"/>
      <w:lvlText w:val="o"/>
      <w:lvlJc w:val="left"/>
      <w:pPr>
        <w:ind w:left="4180" w:hanging="360"/>
      </w:pPr>
      <w:rPr>
        <w:rFonts w:ascii="Courier New" w:hAnsi="Courier New" w:cs="Courier New" w:hint="default"/>
      </w:rPr>
    </w:lvl>
    <w:lvl w:ilvl="5" w:tplc="04150005" w:tentative="1">
      <w:start w:val="1"/>
      <w:numFmt w:val="bullet"/>
      <w:lvlText w:val=""/>
      <w:lvlJc w:val="left"/>
      <w:pPr>
        <w:ind w:left="4900" w:hanging="360"/>
      </w:pPr>
      <w:rPr>
        <w:rFonts w:ascii="Wingdings" w:hAnsi="Wingdings" w:hint="default"/>
      </w:rPr>
    </w:lvl>
    <w:lvl w:ilvl="6" w:tplc="04150001" w:tentative="1">
      <w:start w:val="1"/>
      <w:numFmt w:val="bullet"/>
      <w:lvlText w:val=""/>
      <w:lvlJc w:val="left"/>
      <w:pPr>
        <w:ind w:left="5620" w:hanging="360"/>
      </w:pPr>
      <w:rPr>
        <w:rFonts w:ascii="Symbol" w:hAnsi="Symbol" w:hint="default"/>
      </w:rPr>
    </w:lvl>
    <w:lvl w:ilvl="7" w:tplc="04150003" w:tentative="1">
      <w:start w:val="1"/>
      <w:numFmt w:val="bullet"/>
      <w:lvlText w:val="o"/>
      <w:lvlJc w:val="left"/>
      <w:pPr>
        <w:ind w:left="6340" w:hanging="360"/>
      </w:pPr>
      <w:rPr>
        <w:rFonts w:ascii="Courier New" w:hAnsi="Courier New" w:cs="Courier New" w:hint="default"/>
      </w:rPr>
    </w:lvl>
    <w:lvl w:ilvl="8" w:tplc="04150005" w:tentative="1">
      <w:start w:val="1"/>
      <w:numFmt w:val="bullet"/>
      <w:lvlText w:val=""/>
      <w:lvlJc w:val="left"/>
      <w:pPr>
        <w:ind w:left="7060" w:hanging="360"/>
      </w:pPr>
      <w:rPr>
        <w:rFonts w:ascii="Wingdings" w:hAnsi="Wingdings" w:hint="default"/>
      </w:rPr>
    </w:lvl>
  </w:abstractNum>
  <w:abstractNum w:abstractNumId="2" w15:restartNumberingAfterBreak="0">
    <w:nsid w:val="12160012"/>
    <w:multiLevelType w:val="hybridMultilevel"/>
    <w:tmpl w:val="961657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415000D">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565684D"/>
    <w:multiLevelType w:val="hybridMultilevel"/>
    <w:tmpl w:val="1D686EBC"/>
    <w:lvl w:ilvl="0" w:tplc="1144C370">
      <w:numFmt w:val="bullet"/>
      <w:lvlText w:val="•"/>
      <w:lvlJc w:val="left"/>
      <w:pPr>
        <w:ind w:left="2120" w:hanging="360"/>
      </w:pPr>
      <w:rPr>
        <w:rFonts w:ascii="Arial" w:eastAsia="Arial" w:hAnsi="Arial" w:cs="Arial" w:hint="default"/>
        <w:sz w:val="22"/>
      </w:rPr>
    </w:lvl>
    <w:lvl w:ilvl="1" w:tplc="04150003" w:tentative="1">
      <w:start w:val="1"/>
      <w:numFmt w:val="bullet"/>
      <w:lvlText w:val="o"/>
      <w:lvlJc w:val="left"/>
      <w:pPr>
        <w:ind w:left="2600" w:hanging="360"/>
      </w:pPr>
      <w:rPr>
        <w:rFonts w:ascii="Courier New" w:hAnsi="Courier New" w:cs="Courier New" w:hint="default"/>
      </w:rPr>
    </w:lvl>
    <w:lvl w:ilvl="2" w:tplc="04150005" w:tentative="1">
      <w:start w:val="1"/>
      <w:numFmt w:val="bullet"/>
      <w:lvlText w:val=""/>
      <w:lvlJc w:val="left"/>
      <w:pPr>
        <w:ind w:left="3320" w:hanging="360"/>
      </w:pPr>
      <w:rPr>
        <w:rFonts w:ascii="Wingdings" w:hAnsi="Wingdings" w:hint="default"/>
      </w:rPr>
    </w:lvl>
    <w:lvl w:ilvl="3" w:tplc="04150001" w:tentative="1">
      <w:start w:val="1"/>
      <w:numFmt w:val="bullet"/>
      <w:lvlText w:val=""/>
      <w:lvlJc w:val="left"/>
      <w:pPr>
        <w:ind w:left="4040" w:hanging="360"/>
      </w:pPr>
      <w:rPr>
        <w:rFonts w:ascii="Symbol" w:hAnsi="Symbol" w:hint="default"/>
      </w:rPr>
    </w:lvl>
    <w:lvl w:ilvl="4" w:tplc="04150003" w:tentative="1">
      <w:start w:val="1"/>
      <w:numFmt w:val="bullet"/>
      <w:lvlText w:val="o"/>
      <w:lvlJc w:val="left"/>
      <w:pPr>
        <w:ind w:left="4760" w:hanging="360"/>
      </w:pPr>
      <w:rPr>
        <w:rFonts w:ascii="Courier New" w:hAnsi="Courier New" w:cs="Courier New" w:hint="default"/>
      </w:rPr>
    </w:lvl>
    <w:lvl w:ilvl="5" w:tplc="04150005" w:tentative="1">
      <w:start w:val="1"/>
      <w:numFmt w:val="bullet"/>
      <w:lvlText w:val=""/>
      <w:lvlJc w:val="left"/>
      <w:pPr>
        <w:ind w:left="5480" w:hanging="360"/>
      </w:pPr>
      <w:rPr>
        <w:rFonts w:ascii="Wingdings" w:hAnsi="Wingdings" w:hint="default"/>
      </w:rPr>
    </w:lvl>
    <w:lvl w:ilvl="6" w:tplc="04150001" w:tentative="1">
      <w:start w:val="1"/>
      <w:numFmt w:val="bullet"/>
      <w:lvlText w:val=""/>
      <w:lvlJc w:val="left"/>
      <w:pPr>
        <w:ind w:left="6200" w:hanging="360"/>
      </w:pPr>
      <w:rPr>
        <w:rFonts w:ascii="Symbol" w:hAnsi="Symbol" w:hint="default"/>
      </w:rPr>
    </w:lvl>
    <w:lvl w:ilvl="7" w:tplc="04150003" w:tentative="1">
      <w:start w:val="1"/>
      <w:numFmt w:val="bullet"/>
      <w:lvlText w:val="o"/>
      <w:lvlJc w:val="left"/>
      <w:pPr>
        <w:ind w:left="6920" w:hanging="360"/>
      </w:pPr>
      <w:rPr>
        <w:rFonts w:ascii="Courier New" w:hAnsi="Courier New" w:cs="Courier New" w:hint="default"/>
      </w:rPr>
    </w:lvl>
    <w:lvl w:ilvl="8" w:tplc="04150005" w:tentative="1">
      <w:start w:val="1"/>
      <w:numFmt w:val="bullet"/>
      <w:lvlText w:val=""/>
      <w:lvlJc w:val="left"/>
      <w:pPr>
        <w:ind w:left="7640" w:hanging="360"/>
      </w:pPr>
      <w:rPr>
        <w:rFonts w:ascii="Wingdings" w:hAnsi="Wingdings" w:hint="default"/>
      </w:rPr>
    </w:lvl>
  </w:abstractNum>
  <w:abstractNum w:abstractNumId="4" w15:restartNumberingAfterBreak="0">
    <w:nsid w:val="1D660ED4"/>
    <w:multiLevelType w:val="hybridMultilevel"/>
    <w:tmpl w:val="3724DB8E"/>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5" w15:restartNumberingAfterBreak="0">
    <w:nsid w:val="1E6F30B1"/>
    <w:multiLevelType w:val="hybridMultilevel"/>
    <w:tmpl w:val="4BE2A154"/>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3117187"/>
    <w:multiLevelType w:val="hybridMultilevel"/>
    <w:tmpl w:val="274CDA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0F0A98"/>
    <w:multiLevelType w:val="hybridMultilevel"/>
    <w:tmpl w:val="3FFADD32"/>
    <w:lvl w:ilvl="0" w:tplc="0415000D">
      <w:start w:val="1"/>
      <w:numFmt w:val="bullet"/>
      <w:lvlText w:val=""/>
      <w:lvlJc w:val="left"/>
      <w:pPr>
        <w:ind w:left="1160" w:hanging="360"/>
      </w:pPr>
      <w:rPr>
        <w:rFonts w:ascii="Wingdings" w:hAnsi="Wingdings"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8" w15:restartNumberingAfterBreak="0">
    <w:nsid w:val="29F54D0F"/>
    <w:multiLevelType w:val="hybridMultilevel"/>
    <w:tmpl w:val="17428C8C"/>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69314E"/>
    <w:multiLevelType w:val="hybridMultilevel"/>
    <w:tmpl w:val="7E2E42E2"/>
    <w:lvl w:ilvl="0" w:tplc="1144C370">
      <w:numFmt w:val="bullet"/>
      <w:lvlText w:val="•"/>
      <w:lvlJc w:val="left"/>
      <w:pPr>
        <w:ind w:left="1400" w:hanging="360"/>
      </w:pPr>
      <w:rPr>
        <w:rFonts w:ascii="Arial" w:eastAsia="Arial" w:hAnsi="Arial" w:cs="Arial" w:hint="default"/>
        <w:sz w:val="22"/>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10" w15:restartNumberingAfterBreak="0">
    <w:nsid w:val="33190AAE"/>
    <w:multiLevelType w:val="hybridMultilevel"/>
    <w:tmpl w:val="AEF0D49E"/>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7422F58"/>
    <w:multiLevelType w:val="hybridMultilevel"/>
    <w:tmpl w:val="DBC0EDC2"/>
    <w:lvl w:ilvl="0" w:tplc="3AD45AA2">
      <w:numFmt w:val="bullet"/>
      <w:lvlText w:val=""/>
      <w:lvlJc w:val="left"/>
      <w:pPr>
        <w:ind w:left="1880" w:hanging="360"/>
      </w:pPr>
      <w:rPr>
        <w:rFonts w:ascii="Symbol" w:eastAsia="Courier New" w:hAnsi="Symbol" w:cs="Courier New"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12" w15:restartNumberingAfterBreak="0">
    <w:nsid w:val="37475916"/>
    <w:multiLevelType w:val="hybridMultilevel"/>
    <w:tmpl w:val="C17E7DD4"/>
    <w:lvl w:ilvl="0" w:tplc="04150003">
      <w:start w:val="1"/>
      <w:numFmt w:val="bullet"/>
      <w:lvlText w:val="o"/>
      <w:lvlJc w:val="left"/>
      <w:pPr>
        <w:ind w:left="1840" w:hanging="360"/>
      </w:pPr>
      <w:rPr>
        <w:rFonts w:ascii="Courier New" w:hAnsi="Courier New" w:cs="Courier New" w:hint="default"/>
      </w:rPr>
    </w:lvl>
    <w:lvl w:ilvl="1" w:tplc="04150003">
      <w:start w:val="1"/>
      <w:numFmt w:val="bullet"/>
      <w:lvlText w:val="o"/>
      <w:lvlJc w:val="left"/>
      <w:pPr>
        <w:ind w:left="2560" w:hanging="360"/>
      </w:pPr>
      <w:rPr>
        <w:rFonts w:ascii="Courier New" w:hAnsi="Courier New" w:cs="Courier New" w:hint="default"/>
      </w:rPr>
    </w:lvl>
    <w:lvl w:ilvl="2" w:tplc="04150005" w:tentative="1">
      <w:start w:val="1"/>
      <w:numFmt w:val="bullet"/>
      <w:lvlText w:val=""/>
      <w:lvlJc w:val="left"/>
      <w:pPr>
        <w:ind w:left="3280" w:hanging="360"/>
      </w:pPr>
      <w:rPr>
        <w:rFonts w:ascii="Wingdings" w:hAnsi="Wingdings" w:hint="default"/>
      </w:rPr>
    </w:lvl>
    <w:lvl w:ilvl="3" w:tplc="04150001" w:tentative="1">
      <w:start w:val="1"/>
      <w:numFmt w:val="bullet"/>
      <w:lvlText w:val=""/>
      <w:lvlJc w:val="left"/>
      <w:pPr>
        <w:ind w:left="4000" w:hanging="360"/>
      </w:pPr>
      <w:rPr>
        <w:rFonts w:ascii="Symbol" w:hAnsi="Symbol" w:hint="default"/>
      </w:rPr>
    </w:lvl>
    <w:lvl w:ilvl="4" w:tplc="04150003" w:tentative="1">
      <w:start w:val="1"/>
      <w:numFmt w:val="bullet"/>
      <w:lvlText w:val="o"/>
      <w:lvlJc w:val="left"/>
      <w:pPr>
        <w:ind w:left="4720" w:hanging="360"/>
      </w:pPr>
      <w:rPr>
        <w:rFonts w:ascii="Courier New" w:hAnsi="Courier New" w:cs="Courier New" w:hint="default"/>
      </w:rPr>
    </w:lvl>
    <w:lvl w:ilvl="5" w:tplc="04150005" w:tentative="1">
      <w:start w:val="1"/>
      <w:numFmt w:val="bullet"/>
      <w:lvlText w:val=""/>
      <w:lvlJc w:val="left"/>
      <w:pPr>
        <w:ind w:left="5440" w:hanging="360"/>
      </w:pPr>
      <w:rPr>
        <w:rFonts w:ascii="Wingdings" w:hAnsi="Wingdings" w:hint="default"/>
      </w:rPr>
    </w:lvl>
    <w:lvl w:ilvl="6" w:tplc="04150001" w:tentative="1">
      <w:start w:val="1"/>
      <w:numFmt w:val="bullet"/>
      <w:lvlText w:val=""/>
      <w:lvlJc w:val="left"/>
      <w:pPr>
        <w:ind w:left="6160" w:hanging="360"/>
      </w:pPr>
      <w:rPr>
        <w:rFonts w:ascii="Symbol" w:hAnsi="Symbol" w:hint="default"/>
      </w:rPr>
    </w:lvl>
    <w:lvl w:ilvl="7" w:tplc="04150003" w:tentative="1">
      <w:start w:val="1"/>
      <w:numFmt w:val="bullet"/>
      <w:lvlText w:val="o"/>
      <w:lvlJc w:val="left"/>
      <w:pPr>
        <w:ind w:left="6880" w:hanging="360"/>
      </w:pPr>
      <w:rPr>
        <w:rFonts w:ascii="Courier New" w:hAnsi="Courier New" w:cs="Courier New" w:hint="default"/>
      </w:rPr>
    </w:lvl>
    <w:lvl w:ilvl="8" w:tplc="04150005" w:tentative="1">
      <w:start w:val="1"/>
      <w:numFmt w:val="bullet"/>
      <w:lvlText w:val=""/>
      <w:lvlJc w:val="left"/>
      <w:pPr>
        <w:ind w:left="7600" w:hanging="360"/>
      </w:pPr>
      <w:rPr>
        <w:rFonts w:ascii="Wingdings" w:hAnsi="Wingdings" w:hint="default"/>
      </w:rPr>
    </w:lvl>
  </w:abstractNum>
  <w:abstractNum w:abstractNumId="13" w15:restartNumberingAfterBreak="0">
    <w:nsid w:val="37ED2F34"/>
    <w:multiLevelType w:val="hybridMultilevel"/>
    <w:tmpl w:val="56BA8BA2"/>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8F011FD"/>
    <w:multiLevelType w:val="hybridMultilevel"/>
    <w:tmpl w:val="1AA807BC"/>
    <w:lvl w:ilvl="0" w:tplc="04150003">
      <w:start w:val="1"/>
      <w:numFmt w:val="bullet"/>
      <w:lvlText w:val="o"/>
      <w:lvlJc w:val="left"/>
      <w:pPr>
        <w:ind w:left="1880" w:hanging="360"/>
      </w:pPr>
      <w:rPr>
        <w:rFonts w:ascii="Courier New" w:hAnsi="Courier New" w:cs="Courier New" w:hint="default"/>
      </w:rPr>
    </w:lvl>
    <w:lvl w:ilvl="1" w:tplc="04150003">
      <w:start w:val="1"/>
      <w:numFmt w:val="bullet"/>
      <w:lvlText w:val="o"/>
      <w:lvlJc w:val="left"/>
      <w:pPr>
        <w:ind w:left="2600" w:hanging="360"/>
      </w:pPr>
      <w:rPr>
        <w:rFonts w:ascii="Courier New" w:hAnsi="Courier New" w:cs="Courier New" w:hint="default"/>
      </w:rPr>
    </w:lvl>
    <w:lvl w:ilvl="2" w:tplc="04150005" w:tentative="1">
      <w:start w:val="1"/>
      <w:numFmt w:val="bullet"/>
      <w:lvlText w:val=""/>
      <w:lvlJc w:val="left"/>
      <w:pPr>
        <w:ind w:left="3320" w:hanging="360"/>
      </w:pPr>
      <w:rPr>
        <w:rFonts w:ascii="Wingdings" w:hAnsi="Wingdings" w:hint="default"/>
      </w:rPr>
    </w:lvl>
    <w:lvl w:ilvl="3" w:tplc="04150001" w:tentative="1">
      <w:start w:val="1"/>
      <w:numFmt w:val="bullet"/>
      <w:lvlText w:val=""/>
      <w:lvlJc w:val="left"/>
      <w:pPr>
        <w:ind w:left="4040" w:hanging="360"/>
      </w:pPr>
      <w:rPr>
        <w:rFonts w:ascii="Symbol" w:hAnsi="Symbol" w:hint="default"/>
      </w:rPr>
    </w:lvl>
    <w:lvl w:ilvl="4" w:tplc="04150003" w:tentative="1">
      <w:start w:val="1"/>
      <w:numFmt w:val="bullet"/>
      <w:lvlText w:val="o"/>
      <w:lvlJc w:val="left"/>
      <w:pPr>
        <w:ind w:left="4760" w:hanging="360"/>
      </w:pPr>
      <w:rPr>
        <w:rFonts w:ascii="Courier New" w:hAnsi="Courier New" w:cs="Courier New" w:hint="default"/>
      </w:rPr>
    </w:lvl>
    <w:lvl w:ilvl="5" w:tplc="04150005" w:tentative="1">
      <w:start w:val="1"/>
      <w:numFmt w:val="bullet"/>
      <w:lvlText w:val=""/>
      <w:lvlJc w:val="left"/>
      <w:pPr>
        <w:ind w:left="5480" w:hanging="360"/>
      </w:pPr>
      <w:rPr>
        <w:rFonts w:ascii="Wingdings" w:hAnsi="Wingdings" w:hint="default"/>
      </w:rPr>
    </w:lvl>
    <w:lvl w:ilvl="6" w:tplc="04150001" w:tentative="1">
      <w:start w:val="1"/>
      <w:numFmt w:val="bullet"/>
      <w:lvlText w:val=""/>
      <w:lvlJc w:val="left"/>
      <w:pPr>
        <w:ind w:left="6200" w:hanging="360"/>
      </w:pPr>
      <w:rPr>
        <w:rFonts w:ascii="Symbol" w:hAnsi="Symbol" w:hint="default"/>
      </w:rPr>
    </w:lvl>
    <w:lvl w:ilvl="7" w:tplc="04150003" w:tentative="1">
      <w:start w:val="1"/>
      <w:numFmt w:val="bullet"/>
      <w:lvlText w:val="o"/>
      <w:lvlJc w:val="left"/>
      <w:pPr>
        <w:ind w:left="6920" w:hanging="360"/>
      </w:pPr>
      <w:rPr>
        <w:rFonts w:ascii="Courier New" w:hAnsi="Courier New" w:cs="Courier New" w:hint="default"/>
      </w:rPr>
    </w:lvl>
    <w:lvl w:ilvl="8" w:tplc="04150005" w:tentative="1">
      <w:start w:val="1"/>
      <w:numFmt w:val="bullet"/>
      <w:lvlText w:val=""/>
      <w:lvlJc w:val="left"/>
      <w:pPr>
        <w:ind w:left="7640" w:hanging="360"/>
      </w:pPr>
      <w:rPr>
        <w:rFonts w:ascii="Wingdings" w:hAnsi="Wingdings" w:hint="default"/>
      </w:rPr>
    </w:lvl>
  </w:abstractNum>
  <w:abstractNum w:abstractNumId="15" w15:restartNumberingAfterBreak="0">
    <w:nsid w:val="3CD207FE"/>
    <w:multiLevelType w:val="hybridMultilevel"/>
    <w:tmpl w:val="98348B70"/>
    <w:lvl w:ilvl="0" w:tplc="1144C370">
      <w:numFmt w:val="bullet"/>
      <w:lvlText w:val="•"/>
      <w:lvlJc w:val="left"/>
      <w:pPr>
        <w:ind w:left="2100" w:hanging="360"/>
      </w:pPr>
      <w:rPr>
        <w:rFonts w:ascii="Arial" w:eastAsia="Arial" w:hAnsi="Arial" w:cs="Arial" w:hint="default"/>
        <w:sz w:val="22"/>
      </w:rPr>
    </w:lvl>
    <w:lvl w:ilvl="1" w:tplc="04150003" w:tentative="1">
      <w:start w:val="1"/>
      <w:numFmt w:val="bullet"/>
      <w:lvlText w:val="o"/>
      <w:lvlJc w:val="left"/>
      <w:pPr>
        <w:ind w:left="2580" w:hanging="360"/>
      </w:pPr>
      <w:rPr>
        <w:rFonts w:ascii="Courier New" w:hAnsi="Courier New" w:cs="Courier New" w:hint="default"/>
      </w:rPr>
    </w:lvl>
    <w:lvl w:ilvl="2" w:tplc="04150005" w:tentative="1">
      <w:start w:val="1"/>
      <w:numFmt w:val="bullet"/>
      <w:lvlText w:val=""/>
      <w:lvlJc w:val="left"/>
      <w:pPr>
        <w:ind w:left="3300" w:hanging="360"/>
      </w:pPr>
      <w:rPr>
        <w:rFonts w:ascii="Wingdings" w:hAnsi="Wingdings" w:hint="default"/>
      </w:rPr>
    </w:lvl>
    <w:lvl w:ilvl="3" w:tplc="04150001" w:tentative="1">
      <w:start w:val="1"/>
      <w:numFmt w:val="bullet"/>
      <w:lvlText w:val=""/>
      <w:lvlJc w:val="left"/>
      <w:pPr>
        <w:ind w:left="4020" w:hanging="360"/>
      </w:pPr>
      <w:rPr>
        <w:rFonts w:ascii="Symbol" w:hAnsi="Symbol" w:hint="default"/>
      </w:rPr>
    </w:lvl>
    <w:lvl w:ilvl="4" w:tplc="04150003" w:tentative="1">
      <w:start w:val="1"/>
      <w:numFmt w:val="bullet"/>
      <w:lvlText w:val="o"/>
      <w:lvlJc w:val="left"/>
      <w:pPr>
        <w:ind w:left="4740" w:hanging="360"/>
      </w:pPr>
      <w:rPr>
        <w:rFonts w:ascii="Courier New" w:hAnsi="Courier New" w:cs="Courier New" w:hint="default"/>
      </w:rPr>
    </w:lvl>
    <w:lvl w:ilvl="5" w:tplc="04150005" w:tentative="1">
      <w:start w:val="1"/>
      <w:numFmt w:val="bullet"/>
      <w:lvlText w:val=""/>
      <w:lvlJc w:val="left"/>
      <w:pPr>
        <w:ind w:left="5460" w:hanging="360"/>
      </w:pPr>
      <w:rPr>
        <w:rFonts w:ascii="Wingdings" w:hAnsi="Wingdings" w:hint="default"/>
      </w:rPr>
    </w:lvl>
    <w:lvl w:ilvl="6" w:tplc="04150001" w:tentative="1">
      <w:start w:val="1"/>
      <w:numFmt w:val="bullet"/>
      <w:lvlText w:val=""/>
      <w:lvlJc w:val="left"/>
      <w:pPr>
        <w:ind w:left="6180" w:hanging="360"/>
      </w:pPr>
      <w:rPr>
        <w:rFonts w:ascii="Symbol" w:hAnsi="Symbol" w:hint="default"/>
      </w:rPr>
    </w:lvl>
    <w:lvl w:ilvl="7" w:tplc="04150003" w:tentative="1">
      <w:start w:val="1"/>
      <w:numFmt w:val="bullet"/>
      <w:lvlText w:val="o"/>
      <w:lvlJc w:val="left"/>
      <w:pPr>
        <w:ind w:left="6900" w:hanging="360"/>
      </w:pPr>
      <w:rPr>
        <w:rFonts w:ascii="Courier New" w:hAnsi="Courier New" w:cs="Courier New" w:hint="default"/>
      </w:rPr>
    </w:lvl>
    <w:lvl w:ilvl="8" w:tplc="04150005" w:tentative="1">
      <w:start w:val="1"/>
      <w:numFmt w:val="bullet"/>
      <w:lvlText w:val=""/>
      <w:lvlJc w:val="left"/>
      <w:pPr>
        <w:ind w:left="7620" w:hanging="360"/>
      </w:pPr>
      <w:rPr>
        <w:rFonts w:ascii="Wingdings" w:hAnsi="Wingdings" w:hint="default"/>
      </w:rPr>
    </w:lvl>
  </w:abstractNum>
  <w:abstractNum w:abstractNumId="16" w15:restartNumberingAfterBreak="0">
    <w:nsid w:val="42224361"/>
    <w:multiLevelType w:val="hybridMultilevel"/>
    <w:tmpl w:val="5A2A8AB0"/>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228CBE10">
      <w:numFmt w:val="bullet"/>
      <w:lvlText w:val=""/>
      <w:lvlJc w:val="left"/>
      <w:pPr>
        <w:ind w:left="2160" w:hanging="360"/>
      </w:pPr>
      <w:rPr>
        <w:rFonts w:ascii="Symbol" w:eastAsia="Courier New" w:hAnsi="Symbol" w:cs="Courier New"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CD74BA"/>
    <w:multiLevelType w:val="hybridMultilevel"/>
    <w:tmpl w:val="B7444FA2"/>
    <w:lvl w:ilvl="0" w:tplc="1144C370">
      <w:numFmt w:val="bullet"/>
      <w:lvlText w:val="•"/>
      <w:lvlJc w:val="left"/>
      <w:pPr>
        <w:ind w:left="1400" w:hanging="360"/>
      </w:pPr>
      <w:rPr>
        <w:rFonts w:ascii="Arial" w:eastAsia="Arial" w:hAnsi="Arial" w:cs="Arial" w:hint="default"/>
        <w:sz w:val="22"/>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18" w15:restartNumberingAfterBreak="0">
    <w:nsid w:val="4E100D03"/>
    <w:multiLevelType w:val="hybridMultilevel"/>
    <w:tmpl w:val="695C5C5A"/>
    <w:lvl w:ilvl="0" w:tplc="1144C370">
      <w:numFmt w:val="bullet"/>
      <w:lvlText w:val="•"/>
      <w:lvlJc w:val="left"/>
      <w:pPr>
        <w:ind w:left="960" w:hanging="360"/>
      </w:pPr>
      <w:rPr>
        <w:rFonts w:ascii="Arial" w:eastAsia="Arial" w:hAnsi="Arial" w:cs="Arial" w:hint="default"/>
        <w:sz w:val="22"/>
      </w:rPr>
    </w:lvl>
    <w:lvl w:ilvl="1" w:tplc="3AD45AA2">
      <w:numFmt w:val="bullet"/>
      <w:lvlText w:val=""/>
      <w:lvlJc w:val="left"/>
      <w:pPr>
        <w:ind w:left="1440" w:hanging="360"/>
      </w:pPr>
      <w:rPr>
        <w:rFonts w:ascii="Symbol" w:eastAsia="Courier New" w:hAnsi="Symbol"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DA22B0"/>
    <w:multiLevelType w:val="hybridMultilevel"/>
    <w:tmpl w:val="006A5802"/>
    <w:lvl w:ilvl="0" w:tplc="04150003">
      <w:start w:val="1"/>
      <w:numFmt w:val="bullet"/>
      <w:lvlText w:val="o"/>
      <w:lvlJc w:val="left"/>
      <w:pPr>
        <w:ind w:left="1880" w:hanging="360"/>
      </w:pPr>
      <w:rPr>
        <w:rFonts w:ascii="Courier New" w:hAnsi="Courier New" w:cs="Courier New" w:hint="default"/>
      </w:rPr>
    </w:lvl>
    <w:lvl w:ilvl="1" w:tplc="04150003">
      <w:start w:val="1"/>
      <w:numFmt w:val="bullet"/>
      <w:lvlText w:val="o"/>
      <w:lvlJc w:val="left"/>
      <w:pPr>
        <w:ind w:left="2600" w:hanging="360"/>
      </w:pPr>
      <w:rPr>
        <w:rFonts w:ascii="Courier New" w:hAnsi="Courier New" w:cs="Courier New" w:hint="default"/>
      </w:rPr>
    </w:lvl>
    <w:lvl w:ilvl="2" w:tplc="04150005">
      <w:start w:val="1"/>
      <w:numFmt w:val="bullet"/>
      <w:lvlText w:val=""/>
      <w:lvlJc w:val="left"/>
      <w:pPr>
        <w:ind w:left="3320" w:hanging="360"/>
      </w:pPr>
      <w:rPr>
        <w:rFonts w:ascii="Wingdings" w:hAnsi="Wingdings" w:hint="default"/>
      </w:rPr>
    </w:lvl>
    <w:lvl w:ilvl="3" w:tplc="04150001" w:tentative="1">
      <w:start w:val="1"/>
      <w:numFmt w:val="bullet"/>
      <w:lvlText w:val=""/>
      <w:lvlJc w:val="left"/>
      <w:pPr>
        <w:ind w:left="4040" w:hanging="360"/>
      </w:pPr>
      <w:rPr>
        <w:rFonts w:ascii="Symbol" w:hAnsi="Symbol" w:hint="default"/>
      </w:rPr>
    </w:lvl>
    <w:lvl w:ilvl="4" w:tplc="04150003" w:tentative="1">
      <w:start w:val="1"/>
      <w:numFmt w:val="bullet"/>
      <w:lvlText w:val="o"/>
      <w:lvlJc w:val="left"/>
      <w:pPr>
        <w:ind w:left="4760" w:hanging="360"/>
      </w:pPr>
      <w:rPr>
        <w:rFonts w:ascii="Courier New" w:hAnsi="Courier New" w:cs="Courier New" w:hint="default"/>
      </w:rPr>
    </w:lvl>
    <w:lvl w:ilvl="5" w:tplc="04150005" w:tentative="1">
      <w:start w:val="1"/>
      <w:numFmt w:val="bullet"/>
      <w:lvlText w:val=""/>
      <w:lvlJc w:val="left"/>
      <w:pPr>
        <w:ind w:left="5480" w:hanging="360"/>
      </w:pPr>
      <w:rPr>
        <w:rFonts w:ascii="Wingdings" w:hAnsi="Wingdings" w:hint="default"/>
      </w:rPr>
    </w:lvl>
    <w:lvl w:ilvl="6" w:tplc="04150001" w:tentative="1">
      <w:start w:val="1"/>
      <w:numFmt w:val="bullet"/>
      <w:lvlText w:val=""/>
      <w:lvlJc w:val="left"/>
      <w:pPr>
        <w:ind w:left="6200" w:hanging="360"/>
      </w:pPr>
      <w:rPr>
        <w:rFonts w:ascii="Symbol" w:hAnsi="Symbol" w:hint="default"/>
      </w:rPr>
    </w:lvl>
    <w:lvl w:ilvl="7" w:tplc="04150003" w:tentative="1">
      <w:start w:val="1"/>
      <w:numFmt w:val="bullet"/>
      <w:lvlText w:val="o"/>
      <w:lvlJc w:val="left"/>
      <w:pPr>
        <w:ind w:left="6920" w:hanging="360"/>
      </w:pPr>
      <w:rPr>
        <w:rFonts w:ascii="Courier New" w:hAnsi="Courier New" w:cs="Courier New" w:hint="default"/>
      </w:rPr>
    </w:lvl>
    <w:lvl w:ilvl="8" w:tplc="04150005" w:tentative="1">
      <w:start w:val="1"/>
      <w:numFmt w:val="bullet"/>
      <w:lvlText w:val=""/>
      <w:lvlJc w:val="left"/>
      <w:pPr>
        <w:ind w:left="7640" w:hanging="360"/>
      </w:pPr>
      <w:rPr>
        <w:rFonts w:ascii="Wingdings" w:hAnsi="Wingdings" w:hint="default"/>
      </w:rPr>
    </w:lvl>
  </w:abstractNum>
  <w:abstractNum w:abstractNumId="20" w15:restartNumberingAfterBreak="0">
    <w:nsid w:val="559A44B4"/>
    <w:multiLevelType w:val="hybridMultilevel"/>
    <w:tmpl w:val="D1FA19F0"/>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21" w15:restartNumberingAfterBreak="0">
    <w:nsid w:val="5DD44CBE"/>
    <w:multiLevelType w:val="hybridMultilevel"/>
    <w:tmpl w:val="A5CCF51A"/>
    <w:lvl w:ilvl="0" w:tplc="1144C370">
      <w:numFmt w:val="bullet"/>
      <w:lvlText w:val="•"/>
      <w:lvlJc w:val="left"/>
      <w:pPr>
        <w:ind w:left="1760" w:hanging="360"/>
      </w:pPr>
      <w:rPr>
        <w:rFonts w:ascii="Arial" w:eastAsia="Arial" w:hAnsi="Arial" w:cs="Arial" w:hint="default"/>
        <w:sz w:val="22"/>
      </w:rPr>
    </w:lvl>
    <w:lvl w:ilvl="1" w:tplc="04150003" w:tentative="1">
      <w:start w:val="1"/>
      <w:numFmt w:val="bullet"/>
      <w:lvlText w:val="o"/>
      <w:lvlJc w:val="left"/>
      <w:pPr>
        <w:ind w:left="2240" w:hanging="360"/>
      </w:pPr>
      <w:rPr>
        <w:rFonts w:ascii="Courier New" w:hAnsi="Courier New" w:cs="Courier New" w:hint="default"/>
      </w:rPr>
    </w:lvl>
    <w:lvl w:ilvl="2" w:tplc="04150005" w:tentative="1">
      <w:start w:val="1"/>
      <w:numFmt w:val="bullet"/>
      <w:lvlText w:val=""/>
      <w:lvlJc w:val="left"/>
      <w:pPr>
        <w:ind w:left="2960" w:hanging="360"/>
      </w:pPr>
      <w:rPr>
        <w:rFonts w:ascii="Wingdings" w:hAnsi="Wingdings" w:hint="default"/>
      </w:rPr>
    </w:lvl>
    <w:lvl w:ilvl="3" w:tplc="04150001" w:tentative="1">
      <w:start w:val="1"/>
      <w:numFmt w:val="bullet"/>
      <w:lvlText w:val=""/>
      <w:lvlJc w:val="left"/>
      <w:pPr>
        <w:ind w:left="3680" w:hanging="360"/>
      </w:pPr>
      <w:rPr>
        <w:rFonts w:ascii="Symbol" w:hAnsi="Symbol" w:hint="default"/>
      </w:rPr>
    </w:lvl>
    <w:lvl w:ilvl="4" w:tplc="04150003" w:tentative="1">
      <w:start w:val="1"/>
      <w:numFmt w:val="bullet"/>
      <w:lvlText w:val="o"/>
      <w:lvlJc w:val="left"/>
      <w:pPr>
        <w:ind w:left="4400" w:hanging="360"/>
      </w:pPr>
      <w:rPr>
        <w:rFonts w:ascii="Courier New" w:hAnsi="Courier New" w:cs="Courier New" w:hint="default"/>
      </w:rPr>
    </w:lvl>
    <w:lvl w:ilvl="5" w:tplc="04150005" w:tentative="1">
      <w:start w:val="1"/>
      <w:numFmt w:val="bullet"/>
      <w:lvlText w:val=""/>
      <w:lvlJc w:val="left"/>
      <w:pPr>
        <w:ind w:left="5120" w:hanging="360"/>
      </w:pPr>
      <w:rPr>
        <w:rFonts w:ascii="Wingdings" w:hAnsi="Wingdings" w:hint="default"/>
      </w:rPr>
    </w:lvl>
    <w:lvl w:ilvl="6" w:tplc="04150001" w:tentative="1">
      <w:start w:val="1"/>
      <w:numFmt w:val="bullet"/>
      <w:lvlText w:val=""/>
      <w:lvlJc w:val="left"/>
      <w:pPr>
        <w:ind w:left="5840" w:hanging="360"/>
      </w:pPr>
      <w:rPr>
        <w:rFonts w:ascii="Symbol" w:hAnsi="Symbol" w:hint="default"/>
      </w:rPr>
    </w:lvl>
    <w:lvl w:ilvl="7" w:tplc="04150003" w:tentative="1">
      <w:start w:val="1"/>
      <w:numFmt w:val="bullet"/>
      <w:lvlText w:val="o"/>
      <w:lvlJc w:val="left"/>
      <w:pPr>
        <w:ind w:left="6560" w:hanging="360"/>
      </w:pPr>
      <w:rPr>
        <w:rFonts w:ascii="Courier New" w:hAnsi="Courier New" w:cs="Courier New" w:hint="default"/>
      </w:rPr>
    </w:lvl>
    <w:lvl w:ilvl="8" w:tplc="04150005" w:tentative="1">
      <w:start w:val="1"/>
      <w:numFmt w:val="bullet"/>
      <w:lvlText w:val=""/>
      <w:lvlJc w:val="left"/>
      <w:pPr>
        <w:ind w:left="7280" w:hanging="360"/>
      </w:pPr>
      <w:rPr>
        <w:rFonts w:ascii="Wingdings" w:hAnsi="Wingdings" w:hint="default"/>
      </w:rPr>
    </w:lvl>
  </w:abstractNum>
  <w:abstractNum w:abstractNumId="22" w15:restartNumberingAfterBreak="0">
    <w:nsid w:val="5FBE528C"/>
    <w:multiLevelType w:val="hybridMultilevel"/>
    <w:tmpl w:val="FF6A3A7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4AA2606"/>
    <w:multiLevelType w:val="hybridMultilevel"/>
    <w:tmpl w:val="01AA2E20"/>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60C237A"/>
    <w:multiLevelType w:val="hybridMultilevel"/>
    <w:tmpl w:val="89366CD8"/>
    <w:lvl w:ilvl="0" w:tplc="04150003">
      <w:start w:val="1"/>
      <w:numFmt w:val="bullet"/>
      <w:lvlText w:val="o"/>
      <w:lvlJc w:val="left"/>
      <w:pPr>
        <w:ind w:left="1880" w:hanging="360"/>
      </w:pPr>
      <w:rPr>
        <w:rFonts w:ascii="Courier New" w:hAnsi="Courier New" w:cs="Courier New" w:hint="default"/>
      </w:rPr>
    </w:lvl>
    <w:lvl w:ilvl="1" w:tplc="04150003">
      <w:start w:val="1"/>
      <w:numFmt w:val="bullet"/>
      <w:lvlText w:val="o"/>
      <w:lvlJc w:val="left"/>
      <w:pPr>
        <w:ind w:left="2600" w:hanging="360"/>
      </w:pPr>
      <w:rPr>
        <w:rFonts w:ascii="Courier New" w:hAnsi="Courier New" w:cs="Courier New" w:hint="default"/>
      </w:rPr>
    </w:lvl>
    <w:lvl w:ilvl="2" w:tplc="04150005" w:tentative="1">
      <w:start w:val="1"/>
      <w:numFmt w:val="bullet"/>
      <w:lvlText w:val=""/>
      <w:lvlJc w:val="left"/>
      <w:pPr>
        <w:ind w:left="3320" w:hanging="360"/>
      </w:pPr>
      <w:rPr>
        <w:rFonts w:ascii="Wingdings" w:hAnsi="Wingdings" w:hint="default"/>
      </w:rPr>
    </w:lvl>
    <w:lvl w:ilvl="3" w:tplc="04150001" w:tentative="1">
      <w:start w:val="1"/>
      <w:numFmt w:val="bullet"/>
      <w:lvlText w:val=""/>
      <w:lvlJc w:val="left"/>
      <w:pPr>
        <w:ind w:left="4040" w:hanging="360"/>
      </w:pPr>
      <w:rPr>
        <w:rFonts w:ascii="Symbol" w:hAnsi="Symbol" w:hint="default"/>
      </w:rPr>
    </w:lvl>
    <w:lvl w:ilvl="4" w:tplc="04150003" w:tentative="1">
      <w:start w:val="1"/>
      <w:numFmt w:val="bullet"/>
      <w:lvlText w:val="o"/>
      <w:lvlJc w:val="left"/>
      <w:pPr>
        <w:ind w:left="4760" w:hanging="360"/>
      </w:pPr>
      <w:rPr>
        <w:rFonts w:ascii="Courier New" w:hAnsi="Courier New" w:cs="Courier New" w:hint="default"/>
      </w:rPr>
    </w:lvl>
    <w:lvl w:ilvl="5" w:tplc="04150005" w:tentative="1">
      <w:start w:val="1"/>
      <w:numFmt w:val="bullet"/>
      <w:lvlText w:val=""/>
      <w:lvlJc w:val="left"/>
      <w:pPr>
        <w:ind w:left="5480" w:hanging="360"/>
      </w:pPr>
      <w:rPr>
        <w:rFonts w:ascii="Wingdings" w:hAnsi="Wingdings" w:hint="default"/>
      </w:rPr>
    </w:lvl>
    <w:lvl w:ilvl="6" w:tplc="04150001" w:tentative="1">
      <w:start w:val="1"/>
      <w:numFmt w:val="bullet"/>
      <w:lvlText w:val=""/>
      <w:lvlJc w:val="left"/>
      <w:pPr>
        <w:ind w:left="6200" w:hanging="360"/>
      </w:pPr>
      <w:rPr>
        <w:rFonts w:ascii="Symbol" w:hAnsi="Symbol" w:hint="default"/>
      </w:rPr>
    </w:lvl>
    <w:lvl w:ilvl="7" w:tplc="04150003" w:tentative="1">
      <w:start w:val="1"/>
      <w:numFmt w:val="bullet"/>
      <w:lvlText w:val="o"/>
      <w:lvlJc w:val="left"/>
      <w:pPr>
        <w:ind w:left="6920" w:hanging="360"/>
      </w:pPr>
      <w:rPr>
        <w:rFonts w:ascii="Courier New" w:hAnsi="Courier New" w:cs="Courier New" w:hint="default"/>
      </w:rPr>
    </w:lvl>
    <w:lvl w:ilvl="8" w:tplc="04150005" w:tentative="1">
      <w:start w:val="1"/>
      <w:numFmt w:val="bullet"/>
      <w:lvlText w:val=""/>
      <w:lvlJc w:val="left"/>
      <w:pPr>
        <w:ind w:left="7640" w:hanging="360"/>
      </w:pPr>
      <w:rPr>
        <w:rFonts w:ascii="Wingdings" w:hAnsi="Wingdings" w:hint="default"/>
      </w:rPr>
    </w:lvl>
  </w:abstractNum>
  <w:abstractNum w:abstractNumId="25" w15:restartNumberingAfterBreak="0">
    <w:nsid w:val="679105EE"/>
    <w:multiLevelType w:val="hybridMultilevel"/>
    <w:tmpl w:val="5F5CEB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91E70B0"/>
    <w:multiLevelType w:val="hybridMultilevel"/>
    <w:tmpl w:val="D4C418D4"/>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4B22D56"/>
    <w:multiLevelType w:val="hybridMultilevel"/>
    <w:tmpl w:val="F16A2B12"/>
    <w:lvl w:ilvl="0" w:tplc="1144C370">
      <w:numFmt w:val="bullet"/>
      <w:lvlText w:val="•"/>
      <w:lvlJc w:val="left"/>
      <w:pPr>
        <w:ind w:left="1760" w:hanging="360"/>
      </w:pPr>
      <w:rPr>
        <w:rFonts w:ascii="Arial" w:eastAsia="Arial" w:hAnsi="Arial" w:cs="Arial" w:hint="default"/>
        <w:sz w:val="22"/>
      </w:rPr>
    </w:lvl>
    <w:lvl w:ilvl="1" w:tplc="04150003" w:tentative="1">
      <w:start w:val="1"/>
      <w:numFmt w:val="bullet"/>
      <w:lvlText w:val="o"/>
      <w:lvlJc w:val="left"/>
      <w:pPr>
        <w:ind w:left="2240" w:hanging="360"/>
      </w:pPr>
      <w:rPr>
        <w:rFonts w:ascii="Courier New" w:hAnsi="Courier New" w:cs="Courier New" w:hint="default"/>
      </w:rPr>
    </w:lvl>
    <w:lvl w:ilvl="2" w:tplc="04150005" w:tentative="1">
      <w:start w:val="1"/>
      <w:numFmt w:val="bullet"/>
      <w:lvlText w:val=""/>
      <w:lvlJc w:val="left"/>
      <w:pPr>
        <w:ind w:left="2960" w:hanging="360"/>
      </w:pPr>
      <w:rPr>
        <w:rFonts w:ascii="Wingdings" w:hAnsi="Wingdings" w:hint="default"/>
      </w:rPr>
    </w:lvl>
    <w:lvl w:ilvl="3" w:tplc="04150001" w:tentative="1">
      <w:start w:val="1"/>
      <w:numFmt w:val="bullet"/>
      <w:lvlText w:val=""/>
      <w:lvlJc w:val="left"/>
      <w:pPr>
        <w:ind w:left="3680" w:hanging="360"/>
      </w:pPr>
      <w:rPr>
        <w:rFonts w:ascii="Symbol" w:hAnsi="Symbol" w:hint="default"/>
      </w:rPr>
    </w:lvl>
    <w:lvl w:ilvl="4" w:tplc="04150003" w:tentative="1">
      <w:start w:val="1"/>
      <w:numFmt w:val="bullet"/>
      <w:lvlText w:val="o"/>
      <w:lvlJc w:val="left"/>
      <w:pPr>
        <w:ind w:left="4400" w:hanging="360"/>
      </w:pPr>
      <w:rPr>
        <w:rFonts w:ascii="Courier New" w:hAnsi="Courier New" w:cs="Courier New" w:hint="default"/>
      </w:rPr>
    </w:lvl>
    <w:lvl w:ilvl="5" w:tplc="04150005" w:tentative="1">
      <w:start w:val="1"/>
      <w:numFmt w:val="bullet"/>
      <w:lvlText w:val=""/>
      <w:lvlJc w:val="left"/>
      <w:pPr>
        <w:ind w:left="5120" w:hanging="360"/>
      </w:pPr>
      <w:rPr>
        <w:rFonts w:ascii="Wingdings" w:hAnsi="Wingdings" w:hint="default"/>
      </w:rPr>
    </w:lvl>
    <w:lvl w:ilvl="6" w:tplc="04150001" w:tentative="1">
      <w:start w:val="1"/>
      <w:numFmt w:val="bullet"/>
      <w:lvlText w:val=""/>
      <w:lvlJc w:val="left"/>
      <w:pPr>
        <w:ind w:left="5840" w:hanging="360"/>
      </w:pPr>
      <w:rPr>
        <w:rFonts w:ascii="Symbol" w:hAnsi="Symbol" w:hint="default"/>
      </w:rPr>
    </w:lvl>
    <w:lvl w:ilvl="7" w:tplc="04150003" w:tentative="1">
      <w:start w:val="1"/>
      <w:numFmt w:val="bullet"/>
      <w:lvlText w:val="o"/>
      <w:lvlJc w:val="left"/>
      <w:pPr>
        <w:ind w:left="6560" w:hanging="360"/>
      </w:pPr>
      <w:rPr>
        <w:rFonts w:ascii="Courier New" w:hAnsi="Courier New" w:cs="Courier New" w:hint="default"/>
      </w:rPr>
    </w:lvl>
    <w:lvl w:ilvl="8" w:tplc="04150005" w:tentative="1">
      <w:start w:val="1"/>
      <w:numFmt w:val="bullet"/>
      <w:lvlText w:val=""/>
      <w:lvlJc w:val="left"/>
      <w:pPr>
        <w:ind w:left="7280" w:hanging="360"/>
      </w:pPr>
      <w:rPr>
        <w:rFonts w:ascii="Wingdings" w:hAnsi="Wingdings" w:hint="default"/>
      </w:rPr>
    </w:lvl>
  </w:abstractNum>
  <w:abstractNum w:abstractNumId="28" w15:restartNumberingAfterBreak="0">
    <w:nsid w:val="763A5F68"/>
    <w:multiLevelType w:val="hybridMultilevel"/>
    <w:tmpl w:val="A4340DC6"/>
    <w:lvl w:ilvl="0" w:tplc="1144C370">
      <w:numFmt w:val="bullet"/>
      <w:lvlText w:val="•"/>
      <w:lvlJc w:val="left"/>
      <w:pPr>
        <w:ind w:left="960" w:hanging="360"/>
      </w:pPr>
      <w:rPr>
        <w:rFonts w:ascii="Arial" w:eastAsia="Arial" w:hAnsi="Arial" w:cs="Arial"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67856191">
    <w:abstractNumId w:val="20"/>
  </w:num>
  <w:num w:numId="2" w16cid:durableId="1931549510">
    <w:abstractNumId w:val="4"/>
  </w:num>
  <w:num w:numId="3" w16cid:durableId="1013141897">
    <w:abstractNumId w:val="15"/>
  </w:num>
  <w:num w:numId="4" w16cid:durableId="961886111">
    <w:abstractNumId w:val="3"/>
  </w:num>
  <w:num w:numId="5" w16cid:durableId="1880702321">
    <w:abstractNumId w:val="25"/>
  </w:num>
  <w:num w:numId="6" w16cid:durableId="1647081902">
    <w:abstractNumId w:val="18"/>
  </w:num>
  <w:num w:numId="7" w16cid:durableId="978418552">
    <w:abstractNumId w:val="1"/>
  </w:num>
  <w:num w:numId="8" w16cid:durableId="1759593044">
    <w:abstractNumId w:val="16"/>
  </w:num>
  <w:num w:numId="9" w16cid:durableId="129254219">
    <w:abstractNumId w:val="17"/>
  </w:num>
  <w:num w:numId="10" w16cid:durableId="1281960493">
    <w:abstractNumId w:val="8"/>
  </w:num>
  <w:num w:numId="11" w16cid:durableId="562839753">
    <w:abstractNumId w:val="10"/>
  </w:num>
  <w:num w:numId="12" w16cid:durableId="486290847">
    <w:abstractNumId w:val="21"/>
  </w:num>
  <w:num w:numId="13" w16cid:durableId="619065853">
    <w:abstractNumId w:val="23"/>
  </w:num>
  <w:num w:numId="14" w16cid:durableId="1681278125">
    <w:abstractNumId w:val="22"/>
  </w:num>
  <w:num w:numId="15" w16cid:durableId="1618754208">
    <w:abstractNumId w:val="2"/>
  </w:num>
  <w:num w:numId="16" w16cid:durableId="636448165">
    <w:abstractNumId w:val="7"/>
  </w:num>
  <w:num w:numId="17" w16cid:durableId="1086609188">
    <w:abstractNumId w:val="14"/>
  </w:num>
  <w:num w:numId="18" w16cid:durableId="193618060">
    <w:abstractNumId w:val="11"/>
  </w:num>
  <w:num w:numId="19" w16cid:durableId="111443694">
    <w:abstractNumId w:val="19"/>
  </w:num>
  <w:num w:numId="20" w16cid:durableId="306279148">
    <w:abstractNumId w:val="6"/>
  </w:num>
  <w:num w:numId="21" w16cid:durableId="1770929092">
    <w:abstractNumId w:val="0"/>
  </w:num>
  <w:num w:numId="22" w16cid:durableId="535116934">
    <w:abstractNumId w:val="9"/>
  </w:num>
  <w:num w:numId="23" w16cid:durableId="1963538464">
    <w:abstractNumId w:val="27"/>
  </w:num>
  <w:num w:numId="24" w16cid:durableId="844589635">
    <w:abstractNumId w:val="26"/>
  </w:num>
  <w:num w:numId="25" w16cid:durableId="1992831685">
    <w:abstractNumId w:val="24"/>
  </w:num>
  <w:num w:numId="26" w16cid:durableId="399793472">
    <w:abstractNumId w:val="5"/>
  </w:num>
  <w:num w:numId="27" w16cid:durableId="1155804472">
    <w:abstractNumId w:val="28"/>
  </w:num>
  <w:num w:numId="28" w16cid:durableId="1681422828">
    <w:abstractNumId w:val="12"/>
  </w:num>
  <w:num w:numId="29" w16cid:durableId="996454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9"/>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C48"/>
    <w:rsid w:val="0000097E"/>
    <w:rsid w:val="00011670"/>
    <w:rsid w:val="00071344"/>
    <w:rsid w:val="000B6ED1"/>
    <w:rsid w:val="000C4344"/>
    <w:rsid w:val="000E4D44"/>
    <w:rsid w:val="001113F2"/>
    <w:rsid w:val="001539D7"/>
    <w:rsid w:val="001E5ED3"/>
    <w:rsid w:val="00220AA2"/>
    <w:rsid w:val="002F0761"/>
    <w:rsid w:val="003F700F"/>
    <w:rsid w:val="00406A61"/>
    <w:rsid w:val="004365BD"/>
    <w:rsid w:val="004C60E3"/>
    <w:rsid w:val="00540146"/>
    <w:rsid w:val="005C61D3"/>
    <w:rsid w:val="005F6F63"/>
    <w:rsid w:val="00632C48"/>
    <w:rsid w:val="006F0D19"/>
    <w:rsid w:val="007050B7"/>
    <w:rsid w:val="007C1C8A"/>
    <w:rsid w:val="00853BBC"/>
    <w:rsid w:val="008855E1"/>
    <w:rsid w:val="009301DF"/>
    <w:rsid w:val="009D7884"/>
    <w:rsid w:val="00A371E8"/>
    <w:rsid w:val="00A87360"/>
    <w:rsid w:val="00AC0083"/>
    <w:rsid w:val="00B328C6"/>
    <w:rsid w:val="00D120ED"/>
    <w:rsid w:val="00D17144"/>
    <w:rsid w:val="00D66098"/>
    <w:rsid w:val="00E55BEC"/>
    <w:rsid w:val="00E92660"/>
    <w:rsid w:val="00F34A20"/>
  </w:rsids>
  <m:mathPr>
    <m:mathFont m:val="Cambria Math"/>
    <m:brkBin m:val="before"/>
    <m:brkBinSub m:val="--"/>
    <m:smallFrac m:val="0"/>
    <m:dispDef/>
    <m:lMargin m:val="0"/>
    <m:rMargin m:val="0"/>
    <m:defJc m:val="centerGroup"/>
    <m:wrapIndent m:val="1440"/>
    <m:intLim m:val="subSup"/>
    <m:naryLim m:val="undOvr"/>
  </m:mathPr>
  <w:themeFontLang w:val="pl-PL"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FC1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pl-PL"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odpisobrazu">
    <w:name w:val="Podpis obrazu_"/>
    <w:basedOn w:val="Domylnaczcionkaakapitu"/>
    <w:link w:val="Podpisobrazu0"/>
    <w:rPr>
      <w:b w:val="0"/>
      <w:bCs w:val="0"/>
      <w:i w:val="0"/>
      <w:iCs w:val="0"/>
      <w:smallCaps w:val="0"/>
      <w:strike w:val="0"/>
      <w:u w:val="none"/>
    </w:rPr>
  </w:style>
  <w:style w:type="character" w:customStyle="1" w:styleId="Teksttreci">
    <w:name w:val="Tekst treści_"/>
    <w:basedOn w:val="Domylnaczcionkaakapitu"/>
    <w:link w:val="Teksttreci0"/>
    <w:rPr>
      <w:b w:val="0"/>
      <w:bCs w:val="0"/>
      <w:i w:val="0"/>
      <w:iCs w:val="0"/>
      <w:smallCaps w:val="0"/>
      <w:strike w:val="0"/>
      <w:u w:val="none"/>
    </w:rPr>
  </w:style>
  <w:style w:type="character" w:customStyle="1" w:styleId="Nagwek1">
    <w:name w:val="Nagłówek #1_"/>
    <w:basedOn w:val="Domylnaczcionkaakapitu"/>
    <w:link w:val="Nagwek10"/>
    <w:rPr>
      <w:b/>
      <w:bCs/>
      <w:i w:val="0"/>
      <w:iCs w:val="0"/>
      <w:smallCaps w:val="0"/>
      <w:strike w:val="0"/>
      <w:sz w:val="32"/>
      <w:szCs w:val="32"/>
      <w:u w:val="none"/>
    </w:rPr>
  </w:style>
  <w:style w:type="character" w:customStyle="1" w:styleId="Inne">
    <w:name w:val="Inne_"/>
    <w:basedOn w:val="Domylnaczcionkaakapitu"/>
    <w:link w:val="Inne0"/>
    <w:rPr>
      <w:b w:val="0"/>
      <w:bCs w:val="0"/>
      <w:i w:val="0"/>
      <w:iCs w:val="0"/>
      <w:smallCaps w:val="0"/>
      <w:strike w:val="0"/>
      <w:u w:val="none"/>
    </w:rPr>
  </w:style>
  <w:style w:type="character" w:customStyle="1" w:styleId="Teksttreci4">
    <w:name w:val="Tekst treści (4)_"/>
    <w:basedOn w:val="Domylnaczcionkaakapitu"/>
    <w:link w:val="Teksttreci40"/>
    <w:rPr>
      <w:rFonts w:ascii="Cambria" w:eastAsia="Cambria" w:hAnsi="Cambria" w:cs="Cambria"/>
      <w:b/>
      <w:bCs/>
      <w:i w:val="0"/>
      <w:iCs w:val="0"/>
      <w:smallCaps w:val="0"/>
      <w:strike w:val="0"/>
      <w:color w:val="365F91"/>
      <w:sz w:val="28"/>
      <w:szCs w:val="28"/>
      <w:u w:val="none"/>
    </w:rPr>
  </w:style>
  <w:style w:type="character" w:customStyle="1" w:styleId="Teksttreci2">
    <w:name w:val="Tekst treści (2)_"/>
    <w:basedOn w:val="Domylnaczcionkaakapitu"/>
    <w:link w:val="Teksttreci20"/>
    <w:rPr>
      <w:b/>
      <w:bCs/>
      <w:i w:val="0"/>
      <w:iCs w:val="0"/>
      <w:smallCaps w:val="0"/>
      <w:strike w:val="0"/>
      <w:color w:val="0070C0"/>
      <w:sz w:val="28"/>
      <w:szCs w:val="28"/>
      <w:u w:val="none"/>
    </w:rPr>
  </w:style>
  <w:style w:type="character" w:customStyle="1" w:styleId="Teksttreci3">
    <w:name w:val="Tekst treści (3)_"/>
    <w:basedOn w:val="Domylnaczcionkaakapitu"/>
    <w:link w:val="Teksttreci30"/>
    <w:rPr>
      <w:b w:val="0"/>
      <w:bCs w:val="0"/>
      <w:i w:val="0"/>
      <w:iCs w:val="0"/>
      <w:smallCaps w:val="0"/>
      <w:strike w:val="0"/>
      <w:color w:val="0000FF"/>
      <w:sz w:val="20"/>
      <w:szCs w:val="20"/>
      <w:u w:val="single"/>
    </w:rPr>
  </w:style>
  <w:style w:type="character" w:customStyle="1" w:styleId="Podpistabeli">
    <w:name w:val="Podpis tabeli_"/>
    <w:basedOn w:val="Domylnaczcionkaakapitu"/>
    <w:link w:val="Podpistabeli0"/>
    <w:rPr>
      <w:b w:val="0"/>
      <w:bCs w:val="0"/>
      <w:i w:val="0"/>
      <w:iCs w:val="0"/>
      <w:smallCaps w:val="0"/>
      <w:strike w:val="0"/>
      <w:u w:val="none"/>
    </w:rPr>
  </w:style>
  <w:style w:type="paragraph" w:customStyle="1" w:styleId="Podpisobrazu0">
    <w:name w:val="Podpis obrazu"/>
    <w:basedOn w:val="Normalny"/>
    <w:link w:val="Podpisobrazu"/>
    <w:pPr>
      <w:spacing w:after="240"/>
    </w:pPr>
  </w:style>
  <w:style w:type="paragraph" w:customStyle="1" w:styleId="Teksttreci0">
    <w:name w:val="Tekst treści"/>
    <w:basedOn w:val="Normalny"/>
    <w:link w:val="Teksttreci"/>
    <w:pPr>
      <w:spacing w:after="240"/>
    </w:pPr>
  </w:style>
  <w:style w:type="paragraph" w:customStyle="1" w:styleId="Nagwek10">
    <w:name w:val="Nagłówek #1"/>
    <w:basedOn w:val="Normalny"/>
    <w:link w:val="Nagwek1"/>
    <w:pPr>
      <w:spacing w:after="300"/>
      <w:outlineLvl w:val="0"/>
    </w:pPr>
    <w:rPr>
      <w:b/>
      <w:bCs/>
      <w:sz w:val="32"/>
      <w:szCs w:val="32"/>
    </w:rPr>
  </w:style>
  <w:style w:type="paragraph" w:customStyle="1" w:styleId="Inne0">
    <w:name w:val="Inne"/>
    <w:basedOn w:val="Normalny"/>
    <w:link w:val="Inne"/>
    <w:pPr>
      <w:spacing w:after="240"/>
    </w:pPr>
  </w:style>
  <w:style w:type="paragraph" w:customStyle="1" w:styleId="Teksttreci40">
    <w:name w:val="Tekst treści (4)"/>
    <w:basedOn w:val="Normalny"/>
    <w:link w:val="Teksttreci4"/>
    <w:pPr>
      <w:spacing w:line="199" w:lineRule="auto"/>
    </w:pPr>
    <w:rPr>
      <w:rFonts w:ascii="Cambria" w:eastAsia="Cambria" w:hAnsi="Cambria" w:cs="Cambria"/>
      <w:b/>
      <w:bCs/>
      <w:color w:val="365F91"/>
      <w:sz w:val="28"/>
      <w:szCs w:val="28"/>
    </w:rPr>
  </w:style>
  <w:style w:type="paragraph" w:customStyle="1" w:styleId="Teksttreci20">
    <w:name w:val="Tekst treści (2)"/>
    <w:basedOn w:val="Normalny"/>
    <w:link w:val="Teksttreci2"/>
    <w:pPr>
      <w:spacing w:after="240"/>
    </w:pPr>
    <w:rPr>
      <w:b/>
      <w:bCs/>
      <w:color w:val="0070C0"/>
      <w:sz w:val="28"/>
      <w:szCs w:val="28"/>
    </w:rPr>
  </w:style>
  <w:style w:type="paragraph" w:customStyle="1" w:styleId="Teksttreci30">
    <w:name w:val="Tekst treści (3)"/>
    <w:basedOn w:val="Normalny"/>
    <w:link w:val="Teksttreci3"/>
    <w:pPr>
      <w:spacing w:after="240"/>
    </w:pPr>
    <w:rPr>
      <w:color w:val="0000FF"/>
      <w:sz w:val="20"/>
      <w:szCs w:val="20"/>
      <w:u w:val="single"/>
    </w:rPr>
  </w:style>
  <w:style w:type="paragraph" w:customStyle="1" w:styleId="Podpistabeli0">
    <w:name w:val="Podpis tabeli"/>
    <w:basedOn w:val="Normalny"/>
    <w:link w:val="Podpistabeli"/>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sis.usda.gov/wps/wcm/connect/464a4827-0c9a-4268-8651-b417bb6bba51/Guidance-Selection-Commercial-Private-Microbiological-Testing-lab-062013.pdf?MOD=AJPERES" TargetMode="External"/><Relationship Id="rId21" Type="http://schemas.openxmlformats.org/officeDocument/2006/relationships/hyperlink" Target="http://www.fsis.usda.gov/wps/wcm/connect/212e40b3-b59d-43aa-882e-e5431ea7035f/95033F-a.pdf?MOD=AJPERES" TargetMode="External"/><Relationship Id="rId42" Type="http://schemas.openxmlformats.org/officeDocument/2006/relationships/hyperlink" Target="http://www.fsis.usda.gov/wps/wcm/connect/5d100e39-8eab-4c88-85a3-bb60147d6e10/PHIS_6410.1.pdf?MOD=AJPERES" TargetMode="External"/><Relationship Id="rId47" Type="http://schemas.openxmlformats.org/officeDocument/2006/relationships/hyperlink" Target="http://www.fsis.usda.gov/wps/wcm/connect/dc59bbed-54c3-4e48-97f0-585e0ad9f846/Appendix_A_guidance_95-033F.pdf?MOD=AJPERES" TargetMode="External"/><Relationship Id="rId63" Type="http://schemas.openxmlformats.org/officeDocument/2006/relationships/hyperlink" Target="http://www.fsis.usda.gov/wps/portal/fsis/topics/regulatory-compliance" TargetMode="External"/><Relationship Id="rId68" Type="http://schemas.openxmlformats.org/officeDocument/2006/relationships/hyperlink" Target="http://foodsafety.psu.edu/extension-people.html" TargetMode="External"/><Relationship Id="rId84" Type="http://schemas.openxmlformats.org/officeDocument/2006/relationships/hyperlink" Target="http://www.meathaccp" TargetMode="External"/><Relationship Id="rId89" Type="http://schemas.openxmlformats.org/officeDocument/2006/relationships/hyperlink" Target="http://www.sanitarydesign.org/pdf/Sanitary%20Design%20Fact%20Sheet.pdf" TargetMode="External"/><Relationship Id="rId2" Type="http://schemas.openxmlformats.org/officeDocument/2006/relationships/styles" Target="styles.xml"/><Relationship Id="rId16" Type="http://schemas.openxmlformats.org/officeDocument/2006/relationships/hyperlink" Target="http://www.fsis.usda.gov/wps/wcm/connect/dccfe894-36bb-4bd9-b27a-a7f5275a22cd/JFP0998.pdf?MOD=AJPERES" TargetMode="External"/><Relationship Id="rId29" Type="http://schemas.openxmlformats.org/officeDocument/2006/relationships/hyperlink" Target="http://www.fsis.usda.gov/wps/wcm/connect/bab10e09-aefa-483b-8be8-809a1f051d4c/7120.1.pdf?MOD=AJPERES" TargetMode="External"/><Relationship Id="rId107" Type="http://schemas.openxmlformats.org/officeDocument/2006/relationships/hyperlink" Target="http://www.fsis.usda.gov/" TargetMode="External"/><Relationship Id="rId11" Type="http://schemas.openxmlformats.org/officeDocument/2006/relationships/hyperlink" Target="http://askfsis.custhelp.com/" TargetMode="External"/><Relationship Id="rId24" Type="http://schemas.openxmlformats.org/officeDocument/2006/relationships/hyperlink" Target="http://www.fsis.usda.gov/wps/wcm/connect/464a4827-0c9a-4268-8651-b417bb6bba51/Guidance-Selection-Commercial-Private-Microbiological-Testing-lab-062013.pdf?MOD=AJPERES" TargetMode="External"/><Relationship Id="rId32" Type="http://schemas.openxmlformats.org/officeDocument/2006/relationships/hyperlink" Target="http://www.fsis.usda.gov/wps/wcm/connect/2ed353b4-7a3a-4f31-80d8-20262c1950c8/Salmonella_Comp_Guide_091912.pdf?MOD=AJPERES" TargetMode="External"/><Relationship Id="rId37" Type="http://schemas.openxmlformats.org/officeDocument/2006/relationships/hyperlink" Target="http://askfsis.custhelp.com/app/answers/detail/a_id/1392/kw/surrogate/session/L3RpbWUvMTMyNzUyMTY0Ni9zaWQvVFR6c3cyUGs=" TargetMode="External"/><Relationship Id="rId40" Type="http://schemas.openxmlformats.org/officeDocument/2006/relationships/hyperlink" Target="http://www.bifsco.org/CMDocs/BIFSCO/Best%20Practices/BestPracslaught%20Sept%2009.pdf" TargetMode="External"/><Relationship Id="rId45" Type="http://schemas.openxmlformats.org/officeDocument/2006/relationships/hyperlink" Target="http://www.fsis.usda.gov/wps/wcm/connect/bab10e09-aefa-483b-8be8-809a1f051d4c/7120.1.pdf?MOD=AJPERES" TargetMode="External"/><Relationship Id="rId53" Type="http://schemas.openxmlformats.org/officeDocument/2006/relationships/hyperlink" Target="http://askfsis.custhelp.com/" TargetMode="External"/><Relationship Id="rId58" Type="http://schemas.openxmlformats.org/officeDocument/2006/relationships/image" Target="media/image14.jpeg"/><Relationship Id="rId66" Type="http://schemas.openxmlformats.org/officeDocument/2006/relationships/hyperlink" Target="http://meatsci.osu.edu/home" TargetMode="External"/><Relationship Id="rId74" Type="http://schemas.openxmlformats.org/officeDocument/2006/relationships/image" Target="media/image18.jpeg"/><Relationship Id="rId79" Type="http://schemas.openxmlformats.org/officeDocument/2006/relationships/hyperlink" Target="http://www.meathaccp.wisc.edu/validation/assets/acid_spray_intervention_booklet_from_Penn_State_2005.pdf" TargetMode="External"/><Relationship Id="rId87" Type="http://schemas.openxmlformats.org/officeDocument/2006/relationships/hyperlink" Target="http://www.sanitarydesign.org/pdf/Sanitary%20Design%20Fact%20Sheet.pdf" TargetMode="External"/><Relationship Id="rId102" Type="http://schemas.openxmlformats.org/officeDocument/2006/relationships/hyperlink" Target="http://www.fsis.usda.gov/wps/" TargetMode="External"/><Relationship Id="rId110"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fsis.usda.gov/wps/portal/fsis/topics/regulatory-compliance/haccp/resources-and-information/haccp-validation" TargetMode="External"/><Relationship Id="rId82" Type="http://schemas.openxmlformats.org/officeDocument/2006/relationships/hyperlink" Target="http://www.meathaccp.wisc.edu/validation/assets/acid_spray_intervention_booklet_from_Penn_State_2005.pdf" TargetMode="External"/><Relationship Id="rId90" Type="http://schemas.openxmlformats.org/officeDocument/2006/relationships/hyperlink" Target="http://www.sanitarydesign.org/pdf/Sanitary%20Design%20Fact%20Sheet.pdf" TargetMode="External"/><Relationship Id="rId95" Type="http://schemas.openxmlformats.org/officeDocument/2006/relationships/hyperlink" Target="http://www.bifsco.org/CMDocs/BIFSCO/Best%20Practices/BestPracslaught%20Sept%2009.pdf" TargetMode="External"/><Relationship Id="rId19" Type="http://schemas.openxmlformats.org/officeDocument/2006/relationships/image" Target="media/image5.jpeg"/><Relationship Id="rId14" Type="http://schemas.openxmlformats.org/officeDocument/2006/relationships/hyperlink" Target="http://www.fsis.usda.gov/wps/wcm/connect/e113b15a-837c-46af-8303-73f7c11fb666/93-016F.pdf?MOD=AJPERES" TargetMode="External"/><Relationship Id="rId22" Type="http://schemas.openxmlformats.org/officeDocument/2006/relationships/hyperlink" Target="http://www.fsis.usda.gov/wps/wcm/connect/a3165415-09ef-4b7f-8123-93bea41a7688/95-033F_Appendix_B.pdf?MOD=AJPERES" TargetMode="External"/><Relationship Id="rId27" Type="http://schemas.openxmlformats.org/officeDocument/2006/relationships/hyperlink" Target="http://www.bifsco.org/CMDocs/BIFSCO/Best%20Practices/BestPracslaught%20Sept%2009.pdf" TargetMode="External"/><Relationship Id="rId30" Type="http://schemas.openxmlformats.org/officeDocument/2006/relationships/hyperlink" Target="http://www.fsis.usda.gov/wps/wcm/connect/2ed353b4-7a3a-4f31-80d8-20262c1950c8/Salmonella_Comp_Guide_091912.pdf?MOD=AJPERES" TargetMode="External"/><Relationship Id="rId35" Type="http://schemas.openxmlformats.org/officeDocument/2006/relationships/hyperlink" Target="http://askfsis.custhelp.com/app/answers/detail/a_id/1392/kw/surrogate/session/L3RpbWUvMTMyNzUyMTY0Ni9zaWQvVFR6c3cyUGs=" TargetMode="External"/><Relationship Id="rId43" Type="http://schemas.openxmlformats.org/officeDocument/2006/relationships/hyperlink" Target="http://www.fsis.usda.gov/wps/wcm/connect/5d100e39-8eab-4c88-85a3-bb60147d6e10/PHIS_6410.1.pdf?MOD=AJPERES" TargetMode="External"/><Relationship Id="rId48" Type="http://schemas.openxmlformats.org/officeDocument/2006/relationships/hyperlink" Target="http://www.fsis.usda.gov/wps/wcm/connect/dc59bbed-54c3-4e48-97f0-585e0ad9f846/Appendix_A_guidance_95-033F.pdf?MOD=AJPERES" TargetMode="External"/><Relationship Id="rId56" Type="http://schemas.openxmlformats.org/officeDocument/2006/relationships/image" Target="media/image12.jpeg"/><Relationship Id="rId64" Type="http://schemas.openxmlformats.org/officeDocument/2006/relationships/hyperlink" Target="http://www.fsis.usda.gov/wps/portal/informational/contactus/state-haccp-contacts-and-coordinators" TargetMode="External"/><Relationship Id="rId69" Type="http://schemas.openxmlformats.org/officeDocument/2006/relationships/hyperlink" Target="http://www.haccpalliance.org/sub/index.html" TargetMode="External"/><Relationship Id="rId77" Type="http://schemas.openxmlformats.org/officeDocument/2006/relationships/hyperlink" Target="http://www.meathaccp.wisc.edu/validation/assets/acid_spray_intervention_booklet_from_Penn_State_2005.pdf" TargetMode="External"/><Relationship Id="rId100" Type="http://schemas.openxmlformats.org/officeDocument/2006/relationships/hyperlink" Target="http://www.fsis.usda.gov/wps/wcm/connect/e0f06d97-9026-4e1e-a0c2-1ac60b836fa6/Compliance_Guide_Est_Sampling_STEC_0512.pdf?MOD=AJPERES" TargetMode="External"/><Relationship Id="rId105" Type="http://schemas.openxmlformats.org/officeDocument/2006/relationships/hyperlink" Target="http://modelling.combase.cc/HelpPerPredictor/Perfringens_Predictor_Manual.pdf" TargetMode="External"/><Relationship Id="rId8" Type="http://schemas.openxmlformats.org/officeDocument/2006/relationships/hyperlink" Target="http://www.fsis.usda.gov/wps/portal/footer/policies-and-links" TargetMode="External"/><Relationship Id="rId51" Type="http://schemas.openxmlformats.org/officeDocument/2006/relationships/hyperlink" Target="http://www.fsis.usda.gov/wps/wcm/connect/bab10e09-aefa-483b-8be8-809a1f051d4c/7120.1.pdf?MOD=AJPERES" TargetMode="External"/><Relationship Id="rId72" Type="http://schemas.openxmlformats.org/officeDocument/2006/relationships/hyperlink" Target="http://www.cdc.gov/salmonella/hadar0411/040411/index.html?s_cid=ccu041111_016" TargetMode="External"/><Relationship Id="rId80" Type="http://schemas.openxmlformats.org/officeDocument/2006/relationships/hyperlink" Target="http://www.meathaccp.wisc.edu/validation/assets/acid_spray_intervention_booklet_from_Penn_State_2005.pdf" TargetMode="External"/><Relationship Id="rId85" Type="http://schemas.openxmlformats.org/officeDocument/2006/relationships/hyperlink" Target="http://www.meathaccp" TargetMode="External"/><Relationship Id="rId93" Type="http://schemas.openxmlformats.org/officeDocument/2006/relationships/hyperlink" Target="http://www.bifsco.org/CMDocs/BIFSCO/Best%20Practices/BestPracslaught%20Sept%2009.pdf" TargetMode="External"/><Relationship Id="rId98" Type="http://schemas.openxmlformats.org/officeDocument/2006/relationships/hyperlink" Target="http://www.fsis.usda.gov/wps/wcm/connect/e0f06d97-9026-4e1e-a0c2-1ac60b836fa6/Compliance_Guide_Est_Sampling_STEC_0512.pdf?MOD=AJPERES" TargetMode="External"/><Relationship Id="rId3" Type="http://schemas.openxmlformats.org/officeDocument/2006/relationships/settings" Target="settings.xml"/><Relationship Id="rId12" Type="http://schemas.openxmlformats.org/officeDocument/2006/relationships/hyperlink" Target="http://askfsis.custhelp.com/" TargetMode="External"/><Relationship Id="rId17" Type="http://schemas.openxmlformats.org/officeDocument/2006/relationships/hyperlink" Target="http://www.fsis.usda.gov/wps/wcm/connect/dccfe894-36bb-4bd9-b27a-a7f5275a22cd/JFP0998.pdf?MOD=AJPERES" TargetMode="External"/><Relationship Id="rId25" Type="http://schemas.openxmlformats.org/officeDocument/2006/relationships/hyperlink" Target="http://www.fsis.usda.gov/wps/wcm/connect/464a4827-0c9a-4268-8651-b417bb6bba51/Guidance-Selection-Commercial-Private-Microbiological-Testing-lab-062013.pdf?MOD=AJPERES" TargetMode="External"/><Relationship Id="rId33" Type="http://schemas.openxmlformats.org/officeDocument/2006/relationships/hyperlink" Target="http://www.fsis.usda.gov/OPPDE/rdad/FRPubs/97-013P.htm" TargetMode="External"/><Relationship Id="rId38" Type="http://schemas.openxmlformats.org/officeDocument/2006/relationships/hyperlink" Target="http://askfsis.custhelp.com/app/answers/detail/a_id/1392/kw/surrogate/session/L3RpbWUvMTMyNzUyMTY0Ni9zaWQvVFR6c3cyUGs=" TargetMode="External"/><Relationship Id="rId46" Type="http://schemas.openxmlformats.org/officeDocument/2006/relationships/hyperlink" Target="http://www.fsis.usda.gov/wps/wcm/connect/dc59bbed-54c3-4e48-97f0-585e0ad9f846/Appendix_A_guidance_95-033F.pdf?MOD=AJPERES" TargetMode="External"/><Relationship Id="rId59" Type="http://schemas.openxmlformats.org/officeDocument/2006/relationships/image" Target="media/image15.jpeg"/><Relationship Id="rId67" Type="http://schemas.openxmlformats.org/officeDocument/2006/relationships/hyperlink" Target="http://www.meathaccp.wisc.edu/" TargetMode="External"/><Relationship Id="rId103" Type="http://schemas.openxmlformats.org/officeDocument/2006/relationships/hyperlink" Target="http://modelling.combase.cc/HelpPerPredictor/Perfringens_Predictor_Manual.pdf" TargetMode="External"/><Relationship Id="rId108" Type="http://schemas.openxmlformats.org/officeDocument/2006/relationships/image" Target="media/image20.jpeg"/><Relationship Id="rId20" Type="http://schemas.openxmlformats.org/officeDocument/2006/relationships/image" Target="media/image6.jpeg"/><Relationship Id="rId41" Type="http://schemas.openxmlformats.org/officeDocument/2006/relationships/hyperlink" Target="http://www.fsis.usda.gov/wps/wcm/connect/5d100e39-8eab-4c88-85a3-bb60147d6e10/PHIS_6410.1.pdf?MOD=AJPERES" TargetMode="External"/><Relationship Id="rId54" Type="http://schemas.openxmlformats.org/officeDocument/2006/relationships/image" Target="media/image10.jpeg"/><Relationship Id="rId62" Type="http://schemas.openxmlformats.org/officeDocument/2006/relationships/hyperlink" Target="http://www.fsis.usda.gov/wps/portal/fsis/topics/regulatory-compliance/haccp/resources-and-information/haccp-validation" TargetMode="External"/><Relationship Id="rId70" Type="http://schemas.openxmlformats.org/officeDocument/2006/relationships/hyperlink" Target="http://www.cdc.gov/mmwr/preview/mmwrhtml/mm5747a3.htm" TargetMode="External"/><Relationship Id="rId75" Type="http://schemas.openxmlformats.org/officeDocument/2006/relationships/image" Target="media/image19.jpeg"/><Relationship Id="rId83" Type="http://schemas.openxmlformats.org/officeDocument/2006/relationships/hyperlink" Target="http://www.meathaccp.wisc.edu/validation/assets/acid_spray_intervention_booklet_from_Penn_State_2005.pdf" TargetMode="External"/><Relationship Id="rId88" Type="http://schemas.openxmlformats.org/officeDocument/2006/relationships/hyperlink" Target="http://www.fsis.usda.gov/wps/wcm/connect/" TargetMode="External"/><Relationship Id="rId91" Type="http://schemas.openxmlformats.org/officeDocument/2006/relationships/hyperlink" Target="http://www.fsis.usda.gov/wps/wcm/connect/" TargetMode="External"/><Relationship Id="rId96" Type="http://schemas.openxmlformats.org/officeDocument/2006/relationships/hyperlink" Target="http://www.fsis.usda.gov/wps/wcm/connect/e0f06d97-9026-4e1e-a0c2-1ac60b836fa6/Compliance_Guide_Est_Sampling_STEC_0512.pdf?MOD=AJPER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image" Target="media/image7.jpeg"/><Relationship Id="rId28" Type="http://schemas.openxmlformats.org/officeDocument/2006/relationships/hyperlink" Target="http://www.fsis.usda.gov/wps/wcm/connect/bab10e09-aefa-483b-8be8-809a1f051d4c/7120.1.pdf?MOD=AJPERES" TargetMode="External"/><Relationship Id="rId36" Type="http://schemas.openxmlformats.org/officeDocument/2006/relationships/hyperlink" Target="http://askfsis.custhelp.com/app/answers/detail/a_id/1392/kw/surrogate/session/L3RpbWUvMTMyNzUyMTY0Ni9zaWQvVFR6c3cyUGs=" TargetMode="External"/><Relationship Id="rId49" Type="http://schemas.openxmlformats.org/officeDocument/2006/relationships/hyperlink" Target="http://www.meathaccp.wisc.edu/Model_Haccp_Plans/assets/raw_ground/TompkinPaper.pdf" TargetMode="External"/><Relationship Id="rId57" Type="http://schemas.openxmlformats.org/officeDocument/2006/relationships/image" Target="media/image13.jpeg"/><Relationship Id="rId106" Type="http://schemas.openxmlformats.org/officeDocument/2006/relationships/hyperlink" Target="http://www.amif.org/proce" TargetMode="External"/><Relationship Id="rId10" Type="http://schemas.openxmlformats.org/officeDocument/2006/relationships/hyperlink" Target="http://www.fsis.usda.gov/wps/wcm/connect/3ba826ec-6e79-4f17-85fc-29200f4e8d05/2009-0019-2015.pdf?MOD=AJPERES" TargetMode="External"/><Relationship Id="rId31" Type="http://schemas.openxmlformats.org/officeDocument/2006/relationships/hyperlink" Target="http://www.fsis.usda.gov/wps/wcm/connect/2ed353b4-7a3a-4f31-80d8-20262c1950c8/Salmonella_Comp_Guide_091912.pdf?MOD=AJPERES" TargetMode="External"/><Relationship Id="rId44" Type="http://schemas.openxmlformats.org/officeDocument/2006/relationships/hyperlink" Target="http://www.fsis.usda.gov/wps/wcm/connect/bab10e09-aefa-483b-8be8-809a1f051d4c/7120.1.pdf?MOD=AJPERES" TargetMode="External"/><Relationship Id="rId52" Type="http://schemas.openxmlformats.org/officeDocument/2006/relationships/image" Target="media/image9.jpeg"/><Relationship Id="rId60" Type="http://schemas.openxmlformats.org/officeDocument/2006/relationships/image" Target="media/image16.jpeg"/><Relationship Id="rId65" Type="http://schemas.openxmlformats.org/officeDocument/2006/relationships/hyperlink" Target="http://www.fsis.usda.gov/wps/portal/informational/contactus/state-haccp-contacts-and-coordinators" TargetMode="External"/><Relationship Id="rId73" Type="http://schemas.openxmlformats.org/officeDocument/2006/relationships/image" Target="media/image17.jpeg"/><Relationship Id="rId78" Type="http://schemas.openxmlformats.org/officeDocument/2006/relationships/hyperlink" Target="http://www.meathaccp.wisc.edu/validation/assets/acid_spray_intervention_booklet_from_Penn_State_2005.pdf" TargetMode="External"/><Relationship Id="rId81" Type="http://schemas.openxmlformats.org/officeDocument/2006/relationships/hyperlink" Target="http://www.meathaccp.wisc.edu/validation/assets/acid_spray_intervention_booklet_from_Penn_State_2005.pdf" TargetMode="External"/><Relationship Id="rId86" Type="http://schemas.openxmlformats.org/officeDocument/2006/relationships/hyperlink" Target="http://www.sanitarydesign.org/pdf/Sanitary%20Design%20Fact%20Sheet.pdf" TargetMode="External"/><Relationship Id="rId94" Type="http://schemas.openxmlformats.org/officeDocument/2006/relationships/hyperlink" Target="http://www.bifsco.org/CMDocs/BIFSCO/Best%20Practices/BestPracslaught%20Sept%2009.pdf" TargetMode="External"/><Relationship Id="rId99" Type="http://schemas.openxmlformats.org/officeDocument/2006/relationships/hyperlink" Target="http://www.fsis.usda.gov/wps/wcm/connect/e0f06d97-9026-4e1e-a0c2-1ac60b836fa6/Compliance_Guide_Est_Sampling_STEC_0512.pdf?MOD=AJPERES" TargetMode="External"/><Relationship Id="rId101" Type="http://schemas.openxmlformats.org/officeDocument/2006/relationships/hyperlink" Target="http://www.fsis.usda.gov/wps/wcm/connect/e0f06d97-9026-4e1e-a0c2-1ac60b836fa6/Compliance_Guide_Est_Sampling_STEC_0512.pdf?MOD=AJPERES" TargetMode="External"/><Relationship Id="rId4" Type="http://schemas.openxmlformats.org/officeDocument/2006/relationships/webSettings" Target="webSettings.xml"/><Relationship Id="rId9" Type="http://schemas.openxmlformats.org/officeDocument/2006/relationships/hyperlink" Target="http://www.fsis.usda.gov/wps/wcm/connect/3ba826ec-6e79-4f17-85fc-29200f4e8d05/2009-0019-2015.pdf?MOD=AJPERES" TargetMode="External"/><Relationship Id="rId13" Type="http://schemas.openxmlformats.org/officeDocument/2006/relationships/image" Target="media/image2.jpeg"/><Relationship Id="rId18" Type="http://schemas.openxmlformats.org/officeDocument/2006/relationships/image" Target="media/image4.jpeg"/><Relationship Id="rId39" Type="http://schemas.openxmlformats.org/officeDocument/2006/relationships/hyperlink" Target="http://www.bifsco.org/CMDocs/BIFSCO/Best%20Practices/BestPracslaught%20Sept%2009.pdf" TargetMode="External"/><Relationship Id="rId109" Type="http://schemas.openxmlformats.org/officeDocument/2006/relationships/fontTable" Target="fontTable.xml"/><Relationship Id="rId34" Type="http://schemas.openxmlformats.org/officeDocument/2006/relationships/image" Target="media/image8.jpeg"/><Relationship Id="rId50" Type="http://schemas.openxmlformats.org/officeDocument/2006/relationships/hyperlink" Target="http://www.fsis.usda.gov/wps/wcm/connect/bab10e09-aefa-483b-8be8-809a1f051d4c/7120.1.pdf?MOD=AJPERES" TargetMode="External"/><Relationship Id="rId55" Type="http://schemas.openxmlformats.org/officeDocument/2006/relationships/image" Target="media/image11.jpeg"/><Relationship Id="rId76" Type="http://schemas.openxmlformats.org/officeDocument/2006/relationships/hyperlink" Target="http://www.fsis.usda.gov/wp" TargetMode="External"/><Relationship Id="rId97" Type="http://schemas.openxmlformats.org/officeDocument/2006/relationships/hyperlink" Target="http://www.fsis.usda.gov/wps/wcm/connect/e0f06d97-9026-4e1e-a0c2-1ac60b836fa6/Compliance_Guide_Est_Sampling_STEC_0512.pdf?MOD=AJPERES" TargetMode="External"/><Relationship Id="rId104" Type="http://schemas.openxmlformats.org/officeDocument/2006/relationships/hyperlink" Target="http://modelling.combase.cc/HelpPerPredictor/Perfringens_Predictor_Manual.pdf" TargetMode="External"/><Relationship Id="rId7" Type="http://schemas.openxmlformats.org/officeDocument/2006/relationships/image" Target="media/image1.jpeg"/><Relationship Id="rId71" Type="http://schemas.openxmlformats.org/officeDocument/2006/relationships/hyperlink" Target="http://www.cdc.gov/salmonella/hadar0411/040411/index.html" TargetMode="External"/><Relationship Id="rId92" Type="http://schemas.openxmlformats.org/officeDocument/2006/relationships/hyperlink" Target="http://www.meathaccp.wisc.edu/Mode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68</Pages>
  <Words>20051</Words>
  <Characters>135099</Characters>
  <Application>Microsoft Office Word</Application>
  <DocSecurity>0</DocSecurity>
  <Lines>3696</Lines>
  <Paragraphs>797</Paragraphs>
  <ScaleCrop>false</ScaleCrop>
  <Company/>
  <LinksUpToDate>false</LinksUpToDate>
  <CharactersWithSpaces>154488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2024-11-06T11:00:00Z</dcterms:created>
  <dcterms:modified xsi:type="dcterms:W3CDTF">2024-11-06T12:09:00Z</dcterms:modified>
</cp:coreProperties>
</file>