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027" w:rsidRDefault="00B5754C" w:rsidP="00B5754C">
      <w:pPr>
        <w:spacing w:line="360" w:lineRule="auto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Zasady</w:t>
      </w:r>
      <w:r w:rsidR="00235510" w:rsidRPr="00235510">
        <w:rPr>
          <w:rFonts w:ascii="Bookman Old Style" w:hAnsi="Bookman Old Style"/>
          <w:b/>
          <w:sz w:val="24"/>
          <w:szCs w:val="24"/>
        </w:rPr>
        <w:t xml:space="preserve"> eksportu produktów mleczarskich </w:t>
      </w:r>
      <w:r>
        <w:rPr>
          <w:rFonts w:ascii="Bookman Old Style" w:hAnsi="Bookman Old Style"/>
          <w:b/>
          <w:sz w:val="24"/>
          <w:szCs w:val="24"/>
        </w:rPr>
        <w:t xml:space="preserve">przeznaczonych do spożycia przez ludzi </w:t>
      </w:r>
      <w:r w:rsidR="00235510" w:rsidRPr="00235510">
        <w:rPr>
          <w:rFonts w:ascii="Bookman Old Style" w:hAnsi="Bookman Old Style"/>
          <w:b/>
          <w:sz w:val="24"/>
          <w:szCs w:val="24"/>
        </w:rPr>
        <w:t>na rynek Peru</w:t>
      </w:r>
    </w:p>
    <w:p w:rsidR="00235510" w:rsidRDefault="00235510" w:rsidP="00B5754C">
      <w:pPr>
        <w:spacing w:line="360" w:lineRule="auto"/>
        <w:jc w:val="center"/>
        <w:rPr>
          <w:rFonts w:ascii="Bookman Old Style" w:hAnsi="Bookman Old Style"/>
          <w:b/>
          <w:sz w:val="24"/>
          <w:szCs w:val="24"/>
        </w:rPr>
      </w:pPr>
    </w:p>
    <w:p w:rsidR="00235510" w:rsidRPr="00B5754C" w:rsidRDefault="00DC2008" w:rsidP="00B5754C">
      <w:pPr>
        <w:spacing w:line="360" w:lineRule="auto"/>
        <w:jc w:val="both"/>
        <w:rPr>
          <w:rFonts w:ascii="Bookman Old Style" w:hAnsi="Bookman Old Style"/>
        </w:rPr>
      </w:pPr>
      <w:r w:rsidRPr="00B5754C">
        <w:rPr>
          <w:rFonts w:ascii="Bookman Old Style" w:hAnsi="Bookman Old Style"/>
        </w:rPr>
        <w:t xml:space="preserve">Wszystkie państwa członkowskie są dopuszczone do eksportu produktów mleczarskich do Peru. Oznacza to, że Peru akceptuje UE jako całość, a rynek </w:t>
      </w:r>
      <w:r w:rsidR="00B5754C">
        <w:rPr>
          <w:rFonts w:ascii="Bookman Old Style" w:hAnsi="Bookman Old Style"/>
        </w:rPr>
        <w:t>został otwarty</w:t>
      </w:r>
      <w:r w:rsidRPr="00B5754C">
        <w:rPr>
          <w:rFonts w:ascii="Bookman Old Style" w:hAnsi="Bookman Old Style"/>
        </w:rPr>
        <w:t xml:space="preserve"> dla 28 państw członkowskich w tym samym czasie i na tych samych warunkach</w:t>
      </w:r>
      <w:r w:rsidR="00B5754C">
        <w:rPr>
          <w:rFonts w:ascii="Bookman Old Style" w:hAnsi="Bookman Old Style"/>
        </w:rPr>
        <w:t>.</w:t>
      </w:r>
    </w:p>
    <w:p w:rsidR="00384A90" w:rsidRPr="00B5754C" w:rsidRDefault="00DC2008" w:rsidP="00B5754C">
      <w:pPr>
        <w:spacing w:line="360" w:lineRule="auto"/>
        <w:jc w:val="both"/>
        <w:rPr>
          <w:rFonts w:ascii="Bookman Old Style" w:hAnsi="Bookman Old Style"/>
        </w:rPr>
      </w:pPr>
      <w:r w:rsidRPr="00B5754C">
        <w:rPr>
          <w:rFonts w:ascii="Bookman Old Style" w:hAnsi="Bookman Old Style"/>
        </w:rPr>
        <w:t>Właściwe władze peruwiańskie nie wymagają dostarczenia listy zakładów uprawnionych do eksportu</w:t>
      </w:r>
      <w:r w:rsidR="00B5754C">
        <w:rPr>
          <w:rFonts w:ascii="Bookman Old Style" w:hAnsi="Bookman Old Style"/>
        </w:rPr>
        <w:t xml:space="preserve"> produktów mleczarskich</w:t>
      </w:r>
      <w:r w:rsidRPr="00B5754C">
        <w:rPr>
          <w:rFonts w:ascii="Bookman Old Style" w:hAnsi="Bookman Old Style"/>
        </w:rPr>
        <w:t xml:space="preserve"> do Peru. Każdy zakład </w:t>
      </w:r>
      <w:r w:rsidR="00B5754C">
        <w:rPr>
          <w:rFonts w:ascii="Bookman Old Style" w:hAnsi="Bookman Old Style"/>
        </w:rPr>
        <w:t xml:space="preserve">sektora mleczarskiego </w:t>
      </w:r>
      <w:r w:rsidRPr="00B5754C">
        <w:rPr>
          <w:rFonts w:ascii="Bookman Old Style" w:hAnsi="Bookman Old Style"/>
        </w:rPr>
        <w:t>zatwierdzony w UE</w:t>
      </w:r>
      <w:r w:rsidR="00384A90">
        <w:rPr>
          <w:rFonts w:ascii="Bookman Old Style" w:hAnsi="Bookman Old Style"/>
        </w:rPr>
        <w:t xml:space="preserve"> do handlu</w:t>
      </w:r>
      <w:r w:rsidRPr="00B5754C">
        <w:rPr>
          <w:rFonts w:ascii="Bookman Old Style" w:hAnsi="Bookman Old Style"/>
        </w:rPr>
        <w:t xml:space="preserve"> może eksportować do Peru </w:t>
      </w:r>
      <w:r w:rsidR="00384A90">
        <w:rPr>
          <w:rFonts w:ascii="Bookman Old Style" w:hAnsi="Bookman Old Style"/>
        </w:rPr>
        <w:t xml:space="preserve">swoje produkty </w:t>
      </w:r>
      <w:r w:rsidRPr="00B5754C">
        <w:rPr>
          <w:rFonts w:ascii="Bookman Old Style" w:hAnsi="Bookman Old Style"/>
        </w:rPr>
        <w:t xml:space="preserve">po spełnieniu warunków określonych w ustalonym świadectwie eksportowym. </w:t>
      </w:r>
      <w:r w:rsidR="00B5754C" w:rsidRPr="00B5754C">
        <w:rPr>
          <w:rFonts w:ascii="Bookman Old Style" w:hAnsi="Bookman Old Style"/>
        </w:rPr>
        <w:t xml:space="preserve">Weterynaryjne świadectwo zdrowia ustalone pomiędzy Komisją Europejską a właściwymi władzami Peru jest tłumaczone na wszystkie języki urzędowe UE </w:t>
      </w:r>
      <w:r w:rsidR="00384A90">
        <w:rPr>
          <w:rFonts w:ascii="Bookman Old Style" w:hAnsi="Bookman Old Style"/>
        </w:rPr>
        <w:t>i będzie</w:t>
      </w:r>
      <w:r w:rsidR="00B5754C" w:rsidRPr="00B5754C">
        <w:rPr>
          <w:rFonts w:ascii="Bookman Old Style" w:hAnsi="Bookman Old Style"/>
        </w:rPr>
        <w:t xml:space="preserve"> dostępne w systemie TRACES</w:t>
      </w:r>
      <w:bookmarkStart w:id="0" w:name="_GoBack"/>
      <w:bookmarkEnd w:id="0"/>
      <w:r w:rsidR="00B5754C" w:rsidRPr="00B5754C">
        <w:rPr>
          <w:rFonts w:ascii="Bookman Old Style" w:hAnsi="Bookman Old Style"/>
        </w:rPr>
        <w:t>.</w:t>
      </w:r>
    </w:p>
    <w:p w:rsidR="00384A90" w:rsidRDefault="00DC2008" w:rsidP="00B5754C">
      <w:pPr>
        <w:spacing w:line="360" w:lineRule="auto"/>
        <w:jc w:val="both"/>
        <w:rPr>
          <w:rFonts w:ascii="Bookman Old Style" w:hAnsi="Bookman Old Style"/>
        </w:rPr>
      </w:pPr>
      <w:r w:rsidRPr="00B5754C">
        <w:rPr>
          <w:rFonts w:ascii="Bookman Old Style" w:hAnsi="Bookman Old Style"/>
        </w:rPr>
        <w:t xml:space="preserve">Importer w Peru musi zarejestrować firmę w Rejestrze Zdrowia </w:t>
      </w:r>
      <w:r w:rsidR="00384A90">
        <w:rPr>
          <w:rFonts w:ascii="Bookman Old Style" w:hAnsi="Bookman Old Style"/>
        </w:rPr>
        <w:t>żywności</w:t>
      </w:r>
      <w:r w:rsidRPr="00B5754C">
        <w:rPr>
          <w:rFonts w:ascii="Bookman Old Style" w:hAnsi="Bookman Old Style"/>
        </w:rPr>
        <w:t xml:space="preserve"> do spożycia przez lud</w:t>
      </w:r>
      <w:r w:rsidR="002E47B3">
        <w:rPr>
          <w:rFonts w:ascii="Bookman Old Style" w:hAnsi="Bookman Old Style"/>
        </w:rPr>
        <w:t>zi w Peru (kompetencje</w:t>
      </w:r>
      <w:r w:rsidR="00B5754C" w:rsidRPr="00B5754C">
        <w:rPr>
          <w:rFonts w:ascii="Bookman Old Style" w:hAnsi="Bookman Old Style"/>
        </w:rPr>
        <w:t xml:space="preserve"> DIGESA).</w:t>
      </w:r>
    </w:p>
    <w:p w:rsidR="00DC2008" w:rsidRPr="00B5754C" w:rsidRDefault="00DC2008" w:rsidP="00B5754C">
      <w:pPr>
        <w:spacing w:line="360" w:lineRule="auto"/>
        <w:jc w:val="both"/>
        <w:rPr>
          <w:rFonts w:ascii="Bookman Old Style" w:hAnsi="Bookman Old Style"/>
        </w:rPr>
      </w:pPr>
      <w:r w:rsidRPr="002E47B3">
        <w:rPr>
          <w:rFonts w:ascii="Bookman Old Style" w:hAnsi="Bookman Old Style"/>
          <w:u w:val="single"/>
        </w:rPr>
        <w:t>Ważne:</w:t>
      </w:r>
      <w:r w:rsidRPr="00B5754C">
        <w:rPr>
          <w:rFonts w:ascii="Bookman Old Style" w:hAnsi="Bookman Old Style"/>
        </w:rPr>
        <w:t xml:space="preserve"> </w:t>
      </w:r>
      <w:r w:rsidR="00384A90">
        <w:rPr>
          <w:rFonts w:ascii="Bookman Old Style" w:hAnsi="Bookman Old Style"/>
        </w:rPr>
        <w:t>Świadectwa zdrowia uzgodnione w przeszłości bezpośrednio</w:t>
      </w:r>
      <w:r w:rsidRPr="00B5754C">
        <w:rPr>
          <w:rFonts w:ascii="Bookman Old Style" w:hAnsi="Bookman Old Style"/>
        </w:rPr>
        <w:t xml:space="preserve"> przez </w:t>
      </w:r>
      <w:r w:rsidR="002E47B3">
        <w:rPr>
          <w:rFonts w:ascii="Bookman Old Style" w:hAnsi="Bookman Old Style"/>
        </w:rPr>
        <w:t xml:space="preserve">poszczególne </w:t>
      </w:r>
      <w:r w:rsidR="00384A90">
        <w:rPr>
          <w:rFonts w:ascii="Bookman Old Style" w:hAnsi="Bookman Old Style"/>
        </w:rPr>
        <w:t>państwa członkowskie UE i Peru będą ważne</w:t>
      </w:r>
      <w:r w:rsidRPr="00B5754C">
        <w:rPr>
          <w:rFonts w:ascii="Bookman Old Style" w:hAnsi="Bookman Old Style"/>
        </w:rPr>
        <w:t xml:space="preserve"> </w:t>
      </w:r>
      <w:r w:rsidR="00384A90">
        <w:rPr>
          <w:rFonts w:ascii="Bookman Old Style" w:hAnsi="Bookman Old Style"/>
        </w:rPr>
        <w:t>do 13 maja 2017 roku</w:t>
      </w:r>
      <w:r w:rsidRPr="00B5754C">
        <w:rPr>
          <w:rFonts w:ascii="Bookman Old Style" w:hAnsi="Bookman Old Style"/>
        </w:rPr>
        <w:t xml:space="preserve">. Po tym terminie Peru </w:t>
      </w:r>
      <w:r w:rsidR="00384A90">
        <w:rPr>
          <w:rFonts w:ascii="Bookman Old Style" w:hAnsi="Bookman Old Style"/>
        </w:rPr>
        <w:t>będzie akceptowało</w:t>
      </w:r>
      <w:r w:rsidR="002E47B3">
        <w:rPr>
          <w:rFonts w:ascii="Bookman Old Style" w:hAnsi="Bookman Old Style"/>
        </w:rPr>
        <w:t xml:space="preserve"> tylko ujednolicony wzór świadectwa</w:t>
      </w:r>
      <w:r w:rsidRPr="00B5754C">
        <w:rPr>
          <w:rFonts w:ascii="Bookman Old Style" w:hAnsi="Bookman Old Style"/>
        </w:rPr>
        <w:t xml:space="preserve"> </w:t>
      </w:r>
      <w:r w:rsidR="008776AA">
        <w:rPr>
          <w:rFonts w:ascii="Bookman Old Style" w:hAnsi="Bookman Old Style"/>
        </w:rPr>
        <w:t>dostępny w systemie</w:t>
      </w:r>
      <w:r w:rsidR="00384A90">
        <w:rPr>
          <w:rFonts w:ascii="Bookman Old Style" w:hAnsi="Bookman Old Style"/>
        </w:rPr>
        <w:t xml:space="preserve"> TRACES.</w:t>
      </w:r>
    </w:p>
    <w:sectPr w:rsidR="00DC2008" w:rsidRPr="00B575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10"/>
    <w:rsid w:val="00235510"/>
    <w:rsid w:val="002E47B3"/>
    <w:rsid w:val="00384A90"/>
    <w:rsid w:val="006479AD"/>
    <w:rsid w:val="008776AA"/>
    <w:rsid w:val="00B5754C"/>
    <w:rsid w:val="00DC2008"/>
    <w:rsid w:val="00FF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E3FD95-648E-4D19-9E1E-559186846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anna.gorniak</dc:creator>
  <cp:keywords/>
  <dc:description/>
  <cp:lastModifiedBy>anna.gorniak</cp:lastModifiedBy>
  <cp:revision>3</cp:revision>
  <dcterms:created xsi:type="dcterms:W3CDTF">2017-02-28T09:05:00Z</dcterms:created>
  <dcterms:modified xsi:type="dcterms:W3CDTF">2017-02-28T13:55:00Z</dcterms:modified>
</cp:coreProperties>
</file>