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0003CB" w14:textId="1EAAD886" w:rsidR="00690820" w:rsidRDefault="00CB3E10">
      <w:pPr>
        <w:pStyle w:val="Teksttreci0"/>
        <w:shd w:val="clear" w:color="auto" w:fill="auto"/>
        <w:jc w:val="center"/>
      </w:pPr>
      <w:r>
        <w:rPr>
          <w:b/>
        </w:rPr>
        <w:t>WYMOGI DOTYCZĄCE ZDROWIA ZWIERZĄT ORAZ WARUNKI IMPORTU W ZWIĄZKU Z DWUSTRONNYM UZNANIEM REGIONALIZACJI W SPRAWIE WYSOCE ZJADLIWEJ GRYPY PTAKÓW (HPA1) DLA DROBIU I MIĘSA DROBIOWEGO PRZEZNACZONEGO DO EKSPORTU Z POLSKI NA FILIPINY</w:t>
      </w:r>
    </w:p>
    <w:p w14:paraId="479E529F" w14:textId="77777777" w:rsidR="00690820" w:rsidRDefault="00CB3E10">
      <w:pPr>
        <w:pStyle w:val="Teksttreci0"/>
        <w:shd w:val="clear" w:color="auto" w:fill="auto"/>
      </w:pPr>
      <w:r>
        <w:t>Biuro Przemysłu Zwierzęcego (BAI) opracowuje Wymagania dotyczące Zdrowia Zwierząt oraz Warunki Importu w związku z wnioskiem o dwustronne uznanie regionalizacji w zakresie wysoce zjadliwej grypy ptaków (HPAI). Poniższe wymagania i warunki stanowią uzupełnienie istniejących Warunków Importu określonych w Akredytacji udzielonej Polsce.</w:t>
      </w:r>
    </w:p>
    <w:p w14:paraId="1FD4695E" w14:textId="77777777" w:rsidR="00690820" w:rsidRDefault="00CB3E10">
      <w:pPr>
        <w:pStyle w:val="Nagwek10"/>
        <w:keepNext/>
        <w:keepLines/>
        <w:shd w:val="clear" w:color="auto" w:fill="auto"/>
        <w:tabs>
          <w:tab w:val="left" w:pos="410"/>
        </w:tabs>
        <w:ind w:left="0"/>
      </w:pPr>
      <w:r>
        <w:t>I.</w:t>
      </w:r>
      <w:r>
        <w:tab/>
        <w:t>Definicja terminów</w:t>
      </w:r>
    </w:p>
    <w:p w14:paraId="32DAF931" w14:textId="77777777" w:rsidR="00690820" w:rsidRDefault="00CB3E10">
      <w:pPr>
        <w:pStyle w:val="Teksttreci0"/>
        <w:shd w:val="clear" w:color="auto" w:fill="auto"/>
        <w:ind w:left="500" w:firstLine="40"/>
      </w:pPr>
      <w:r>
        <w:rPr>
          <w:b/>
          <w:bCs/>
        </w:rPr>
        <w:t>Drób</w:t>
      </w:r>
      <w:r>
        <w:t xml:space="preserve"> - odnosi się do wszystkich ptaków a) hodowanych lub trzymanych w niewoli w celu produkcji jakichkolwiek komercyjnych produktów zwierzęcych lub do hodowli w tym celu, kogutów bojowych wykorzystywanych w dowolnym celu oraz wszystkich ptaków wykorzystywanych do odnawiania zasobów zwierzyny łownej lub do hodowli w tym celu, dopóki nie zostaną wypuszczone z niewoli, b) ptaków, które są trzymane w jednym gospodarstwie domowym, a których produkty są wykorzystywane wyłącznie w tym samym gospodarstwie domowym, nie uważa się za </w:t>
      </w:r>
      <w:r>
        <w:rPr>
          <w:i/>
          <w:iCs/>
          <w:u w:val="single"/>
        </w:rPr>
        <w:t>drób</w:t>
      </w:r>
      <w:r>
        <w:t xml:space="preserve">, pod warunkiem, że nie mają bezpośredniego ani pośredniego kontaktu z </w:t>
      </w:r>
      <w:r>
        <w:rPr>
          <w:i/>
          <w:iCs/>
          <w:u w:val="single"/>
        </w:rPr>
        <w:t>drobiem</w:t>
      </w:r>
      <w:r>
        <w:t xml:space="preserve"> lub obiektami </w:t>
      </w:r>
      <w:r>
        <w:rPr>
          <w:i/>
          <w:iCs/>
          <w:u w:val="single"/>
        </w:rPr>
        <w:t>drobiarskimi</w:t>
      </w:r>
      <w:r>
        <w:t xml:space="preserve">, oraz c) ptaków, które są trzymane w niewoli z innych powodów, w tym ptaków trzymanych na pokazy, wyścigi, wystawy, kolekcje zoologiczne i konkursy oraz do hodowli lub sprzedaży w tych celach, jak również ptaków domowych, </w:t>
      </w:r>
      <w:r>
        <w:rPr>
          <w:u w:val="single"/>
        </w:rPr>
        <w:t xml:space="preserve">nie uważa się za </w:t>
      </w:r>
      <w:r>
        <w:rPr>
          <w:i/>
          <w:iCs/>
          <w:u w:val="single"/>
        </w:rPr>
        <w:t>drób</w:t>
      </w:r>
      <w:r>
        <w:t>, pod warunkiem, że nie mają bezpośredniego ani pośredniego kontaktu z drobiem lub obiektami drobiarskimi.</w:t>
      </w:r>
    </w:p>
    <w:p w14:paraId="15968F91" w14:textId="77777777" w:rsidR="00690820" w:rsidRDefault="00CB3E10">
      <w:pPr>
        <w:pStyle w:val="Teksttreci0"/>
        <w:shd w:val="clear" w:color="auto" w:fill="auto"/>
        <w:ind w:left="500" w:firstLine="40"/>
      </w:pPr>
      <w:r w:rsidRPr="00623D63">
        <w:rPr>
          <w:b/>
          <w:bCs/>
        </w:rPr>
        <w:t>Mięso</w:t>
      </w:r>
      <w:r>
        <w:t xml:space="preserve"> </w:t>
      </w:r>
      <w:r>
        <w:rPr>
          <w:b/>
        </w:rPr>
        <w:t xml:space="preserve">drobiowe </w:t>
      </w:r>
      <w:r>
        <w:t>- odnosi się do mięsa drobiowego, które nie zostało poddane żadnej obróbce nieodwracalnie zmieniającej jego właściwości organoleptyczne i fizykochemiczne. Obejmuje to mięso mrożone, mięso schłodzone, mięso mielone i mięso mechanicznie odzyskane / oddzielone / pozbawione kości.</w:t>
      </w:r>
    </w:p>
    <w:p w14:paraId="4C0E5B15" w14:textId="77777777" w:rsidR="00690820" w:rsidRDefault="00CB3E10">
      <w:pPr>
        <w:pStyle w:val="Teksttreci0"/>
        <w:shd w:val="clear" w:color="auto" w:fill="auto"/>
        <w:spacing w:line="266" w:lineRule="auto"/>
        <w:ind w:left="500" w:firstLine="40"/>
      </w:pPr>
      <w:r>
        <w:rPr>
          <w:b/>
          <w:bCs/>
        </w:rPr>
        <w:t xml:space="preserve">Wysoce zjadliwa grypa ptaków (ang. High </w:t>
      </w:r>
      <w:proofErr w:type="spellStart"/>
      <w:r>
        <w:rPr>
          <w:b/>
          <w:bCs/>
        </w:rPr>
        <w:t>Pathogenicity</w:t>
      </w:r>
      <w:proofErr w:type="spellEnd"/>
      <w:r>
        <w:rPr>
          <w:b/>
          <w:bCs/>
        </w:rPr>
        <w:t xml:space="preserve"> </w:t>
      </w:r>
      <w:proofErr w:type="spellStart"/>
      <w:r>
        <w:rPr>
          <w:b/>
          <w:bCs/>
        </w:rPr>
        <w:t>Avian</w:t>
      </w:r>
      <w:proofErr w:type="spellEnd"/>
      <w:r>
        <w:rPr>
          <w:b/>
          <w:bCs/>
        </w:rPr>
        <w:t xml:space="preserve"> Influenza, HPAI)</w:t>
      </w:r>
      <w:r>
        <w:t xml:space="preserve"> - odnosi się do zakażenia drobiu wirusem grypy typu A, który został określony jako wysoce zjadliwy zgodnie z podręcznikiem Organizacji Zdrowia Zwierząt (ang. World </w:t>
      </w:r>
      <w:proofErr w:type="spellStart"/>
      <w:r>
        <w:t>Organisation</w:t>
      </w:r>
      <w:proofErr w:type="spellEnd"/>
      <w:r>
        <w:t xml:space="preserve"> for </w:t>
      </w:r>
      <w:proofErr w:type="spellStart"/>
      <w:r>
        <w:t>Animal</w:t>
      </w:r>
      <w:proofErr w:type="spellEnd"/>
      <w:r>
        <w:t xml:space="preserve"> </w:t>
      </w:r>
      <w:proofErr w:type="spellStart"/>
      <w:r>
        <w:t>Health</w:t>
      </w:r>
      <w:proofErr w:type="spellEnd"/>
      <w:r>
        <w:t>, WOAH) dotyczącym zwierząt lądowych.</w:t>
      </w:r>
    </w:p>
    <w:p w14:paraId="5DC91150" w14:textId="77777777" w:rsidR="00690820" w:rsidRDefault="00CB3E10">
      <w:pPr>
        <w:pStyle w:val="Teksttreci0"/>
        <w:shd w:val="clear" w:color="auto" w:fill="auto"/>
        <w:spacing w:line="266" w:lineRule="auto"/>
        <w:ind w:left="500" w:firstLine="40"/>
      </w:pPr>
      <w:r>
        <w:rPr>
          <w:b/>
        </w:rPr>
        <w:t xml:space="preserve">Ognisko - </w:t>
      </w:r>
      <w:r>
        <w:t>odnosi się do wystąpienia jednego lub więcej przypadków w jednostce epidemiologicznej. Przypadek jest definiowany jako pojedynczy ptak zakażony czynnikiem chorobotwórczym, z objawami klinicznymi lub bez.</w:t>
      </w:r>
    </w:p>
    <w:p w14:paraId="05AA1E5B" w14:textId="77777777" w:rsidR="00690820" w:rsidRDefault="00CB3E10">
      <w:pPr>
        <w:pStyle w:val="Teksttreci0"/>
        <w:shd w:val="clear" w:color="auto" w:fill="auto"/>
        <w:spacing w:line="266" w:lineRule="auto"/>
        <w:ind w:left="500" w:firstLine="40"/>
      </w:pPr>
      <w:r>
        <w:rPr>
          <w:b/>
        </w:rPr>
        <w:t xml:space="preserve">Region - </w:t>
      </w:r>
      <w:r>
        <w:t>odnosi się do geograficznego obszaru lądowego, który można zidentyfikować za pomocą granic geograficznych, politycznych lub geodezyjnych, a jego granice geograficzne powinny zostać ustalone przez władze weterynaryjne kraju wywozu na podstawie naturalnych, sztucznych lub prawnych granic i podane do wiadomości publicznej za pośrednictwem oficjalnych kanałów.</w:t>
      </w:r>
    </w:p>
    <w:p w14:paraId="6A5B38EF" w14:textId="77777777" w:rsidR="00690820" w:rsidRDefault="00CB3E10">
      <w:pPr>
        <w:pStyle w:val="Teksttreci0"/>
        <w:shd w:val="clear" w:color="auto" w:fill="auto"/>
        <w:spacing w:line="264" w:lineRule="auto"/>
        <w:ind w:left="920"/>
      </w:pPr>
      <w:r>
        <w:rPr>
          <w:b/>
        </w:rPr>
        <w:t xml:space="preserve">Region zakażony - </w:t>
      </w:r>
      <w:r>
        <w:t>odnosi się do regionu, w którym organ weterynaryjny kraju eksportującego ogłosił ognisko wysoce zjadliwej grypy ptaków, w tym do obszaru lub obszarów, w których organ weterynaryjny kraju eksportującego ustanowił strefy zapobiegania rozprzestrzenianiu się choroby.</w:t>
      </w:r>
    </w:p>
    <w:p w14:paraId="48A42BA6" w14:textId="77777777" w:rsidR="00690820" w:rsidRDefault="00CB3E10">
      <w:pPr>
        <w:pStyle w:val="Teksttreci0"/>
        <w:shd w:val="clear" w:color="auto" w:fill="auto"/>
        <w:spacing w:line="269" w:lineRule="auto"/>
        <w:ind w:left="920"/>
      </w:pPr>
      <w:proofErr w:type="spellStart"/>
      <w:r>
        <w:rPr>
          <w:b/>
          <w:bCs/>
        </w:rPr>
        <w:t>Regionwolny</w:t>
      </w:r>
      <w:proofErr w:type="spellEnd"/>
      <w:r>
        <w:rPr>
          <w:b/>
        </w:rPr>
        <w:t xml:space="preserve"> - </w:t>
      </w:r>
      <w:r>
        <w:t>odnosi się do regionu innego niż region zakażony zadeklarowany przez władze weterynaryjne kraju eksportującego oraz zaakceptowany i potwierdzony przez Filipińskie Biuro Przemysłu Zwierzęcego.</w:t>
      </w:r>
    </w:p>
    <w:p w14:paraId="5D2B5EB0" w14:textId="77777777" w:rsidR="00690820" w:rsidRDefault="00CB3E10">
      <w:pPr>
        <w:pStyle w:val="Teksttreci0"/>
        <w:shd w:val="clear" w:color="auto" w:fill="auto"/>
        <w:spacing w:line="264" w:lineRule="auto"/>
        <w:ind w:left="500" w:firstLine="40"/>
      </w:pPr>
      <w:r>
        <w:rPr>
          <w:b/>
        </w:rPr>
        <w:t xml:space="preserve">Władze weterynaryjne - </w:t>
      </w:r>
      <w:r>
        <w:t xml:space="preserve">odnoszą się do władz rządowych kraju eksportującego w kraju członkowskim Światowej Organizacji Zdrowia Zwierząt (WOAH), ponoszących główną odpowiedzialność na całym terytorium za koordynację wdrażania norm Kodeksu Zdrowia Zwierząt Lądowych (ang. </w:t>
      </w:r>
      <w:proofErr w:type="spellStart"/>
      <w:r>
        <w:t>Terrestrial</w:t>
      </w:r>
      <w:proofErr w:type="spellEnd"/>
      <w:r>
        <w:t xml:space="preserve"> </w:t>
      </w:r>
      <w:proofErr w:type="spellStart"/>
      <w:r>
        <w:t>Animal</w:t>
      </w:r>
      <w:proofErr w:type="spellEnd"/>
      <w:r>
        <w:t xml:space="preserve"> </w:t>
      </w:r>
      <w:proofErr w:type="spellStart"/>
      <w:r>
        <w:t>Health</w:t>
      </w:r>
      <w:proofErr w:type="spellEnd"/>
      <w:r>
        <w:t xml:space="preserve"> </w:t>
      </w:r>
      <w:proofErr w:type="spellStart"/>
      <w:r>
        <w:t>Code</w:t>
      </w:r>
      <w:proofErr w:type="spellEnd"/>
      <w:r>
        <w:t>, TAHC) Światowej Organizacji Zdrowia Zwierząt (WOAH).</w:t>
      </w:r>
    </w:p>
    <w:p w14:paraId="63DC688B" w14:textId="77777777" w:rsidR="00690820" w:rsidRDefault="00CB3E10">
      <w:pPr>
        <w:pStyle w:val="Nagwek10"/>
        <w:keepNext/>
        <w:keepLines/>
        <w:shd w:val="clear" w:color="auto" w:fill="auto"/>
        <w:tabs>
          <w:tab w:val="left" w:pos="533"/>
        </w:tabs>
        <w:ind w:left="0"/>
      </w:pPr>
      <w:r>
        <w:lastRenderedPageBreak/>
        <w:t>II.</w:t>
      </w:r>
      <w:r>
        <w:tab/>
        <w:t>Warunki ogólne dotyczące regionalizacji w zakresie wysoce zjadliwej grypy ptaków (HPAI)</w:t>
      </w:r>
    </w:p>
    <w:p w14:paraId="19A377D6" w14:textId="77777777" w:rsidR="00690820" w:rsidRDefault="00CB3E10">
      <w:pPr>
        <w:pStyle w:val="Teksttreci0"/>
        <w:shd w:val="clear" w:color="auto" w:fill="auto"/>
        <w:tabs>
          <w:tab w:val="left" w:pos="902"/>
        </w:tabs>
        <w:ind w:left="880" w:hanging="300"/>
      </w:pPr>
      <w:r>
        <w:t>1 .</w:t>
      </w:r>
      <w:r>
        <w:tab/>
        <w:t xml:space="preserve">Porozumienie o regionalizacji ma zastosowanie do powiatów i obszarów położonych poza obszarami objętymi ograniczeniami (ang. </w:t>
      </w:r>
      <w:proofErr w:type="spellStart"/>
      <w:r>
        <w:t>restricted</w:t>
      </w:r>
      <w:proofErr w:type="spellEnd"/>
      <w:r>
        <w:t xml:space="preserve"> </w:t>
      </w:r>
      <w:proofErr w:type="spellStart"/>
      <w:r>
        <w:t>zones</w:t>
      </w:r>
      <w:proofErr w:type="spellEnd"/>
      <w:r>
        <w:t>), które zostały uznane za wolne od wysoce zjadliwej grypy ptaków przez władze weterynaryjne kraju wywozu i których status został należycie uznany przez Biuro Przemysłu Zwierzęcego (BAI).</w:t>
      </w:r>
    </w:p>
    <w:p w14:paraId="2F391054" w14:textId="77777777" w:rsidR="00690820" w:rsidRDefault="00CB3E10">
      <w:pPr>
        <w:pStyle w:val="Teksttreci0"/>
        <w:shd w:val="clear" w:color="auto" w:fill="auto"/>
        <w:tabs>
          <w:tab w:val="left" w:pos="902"/>
        </w:tabs>
        <w:spacing w:after="0"/>
        <w:ind w:left="880" w:hanging="300"/>
      </w:pPr>
      <w:r>
        <w:rPr>
          <w:b/>
          <w:bCs/>
        </w:rPr>
        <w:t>2.</w:t>
      </w:r>
      <w:r>
        <w:tab/>
        <w:t>Towary objęte dwustronnym uznaniem regionalizacji w zakresie wysoce zjadliwej grypy ptaków (HPAI) opierają się na przyznanej akredytacji Filipińskiego Departamentu Rolnictwa (DA), które są następujące:</w:t>
      </w:r>
    </w:p>
    <w:p w14:paraId="3B343A36" w14:textId="77777777" w:rsidR="00690820" w:rsidRDefault="00CB3E10">
      <w:pPr>
        <w:pStyle w:val="Teksttreci0"/>
        <w:shd w:val="clear" w:color="auto" w:fill="auto"/>
        <w:tabs>
          <w:tab w:val="left" w:pos="1258"/>
        </w:tabs>
        <w:spacing w:after="0"/>
        <w:ind w:left="1200" w:hanging="280"/>
      </w:pPr>
      <w:r>
        <w:t>a.</w:t>
      </w:r>
      <w:r>
        <w:tab/>
      </w:r>
      <w:r>
        <w:rPr>
          <w:u w:val="single"/>
        </w:rPr>
        <w:t>Żywe kurczaki i ich pisklęta jednodniowe;</w:t>
      </w:r>
    </w:p>
    <w:p w14:paraId="5DA9FF55" w14:textId="77777777" w:rsidR="00690820" w:rsidRDefault="00CB3E10">
      <w:pPr>
        <w:pStyle w:val="Teksttreci0"/>
        <w:shd w:val="clear" w:color="auto" w:fill="auto"/>
        <w:tabs>
          <w:tab w:val="left" w:pos="1258"/>
        </w:tabs>
        <w:spacing w:after="0"/>
        <w:ind w:left="1200" w:hanging="280"/>
      </w:pPr>
      <w:r>
        <w:t>b.</w:t>
      </w:r>
      <w:r>
        <w:tab/>
      </w:r>
      <w:r>
        <w:rPr>
          <w:u w:val="single"/>
        </w:rPr>
        <w:t>Żywe indyki i ich pisklęta jednodniowe;</w:t>
      </w:r>
    </w:p>
    <w:p w14:paraId="5DB5584A" w14:textId="77777777" w:rsidR="00690820" w:rsidRDefault="00CB3E10">
      <w:pPr>
        <w:pStyle w:val="Teksttreci0"/>
        <w:shd w:val="clear" w:color="auto" w:fill="auto"/>
        <w:tabs>
          <w:tab w:val="left" w:pos="1258"/>
        </w:tabs>
        <w:spacing w:after="0" w:line="211" w:lineRule="auto"/>
        <w:ind w:left="1200" w:hanging="280"/>
      </w:pPr>
      <w:r>
        <w:t>c.</w:t>
      </w:r>
      <w:r>
        <w:tab/>
      </w:r>
      <w:r>
        <w:rPr>
          <w:u w:val="single"/>
        </w:rPr>
        <w:t>Jaja wylęgowe kurze i indycze;</w:t>
      </w:r>
    </w:p>
    <w:p w14:paraId="1108E4C1" w14:textId="77777777" w:rsidR="00690820" w:rsidRDefault="00CB3E10">
      <w:pPr>
        <w:pStyle w:val="Teksttreci0"/>
        <w:shd w:val="clear" w:color="auto" w:fill="auto"/>
        <w:tabs>
          <w:tab w:val="left" w:pos="1258"/>
        </w:tabs>
        <w:spacing w:after="0"/>
        <w:ind w:left="1200" w:hanging="280"/>
      </w:pPr>
      <w:r>
        <w:t>d.</w:t>
      </w:r>
      <w:r>
        <w:tab/>
      </w:r>
      <w:r>
        <w:rPr>
          <w:u w:val="single"/>
        </w:rPr>
        <w:t>Mięso z kurczaka;</w:t>
      </w:r>
    </w:p>
    <w:p w14:paraId="1D3C79BC" w14:textId="77777777" w:rsidR="00690820" w:rsidRDefault="00CB3E10">
      <w:pPr>
        <w:pStyle w:val="Teksttreci0"/>
        <w:shd w:val="clear" w:color="auto" w:fill="auto"/>
        <w:tabs>
          <w:tab w:val="left" w:pos="1258"/>
        </w:tabs>
        <w:spacing w:after="0"/>
        <w:ind w:left="1200" w:hanging="280"/>
      </w:pPr>
      <w:r>
        <w:t>e.</w:t>
      </w:r>
      <w:r>
        <w:tab/>
      </w:r>
      <w:r>
        <w:rPr>
          <w:u w:val="single"/>
        </w:rPr>
        <w:t>Mięso z indyka; oraz</w:t>
      </w:r>
    </w:p>
    <w:p w14:paraId="3416EEEC" w14:textId="77777777" w:rsidR="00690820" w:rsidRDefault="00CB3E10">
      <w:pPr>
        <w:pStyle w:val="Teksttreci0"/>
        <w:shd w:val="clear" w:color="auto" w:fill="auto"/>
        <w:tabs>
          <w:tab w:val="left" w:pos="1258"/>
        </w:tabs>
        <w:ind w:left="1200" w:hanging="280"/>
      </w:pPr>
      <w:r>
        <w:t>f.</w:t>
      </w:r>
      <w:r>
        <w:tab/>
      </w:r>
      <w:r>
        <w:rPr>
          <w:u w:val="single"/>
        </w:rPr>
        <w:t>Mięso z gęsi.</w:t>
      </w:r>
    </w:p>
    <w:p w14:paraId="6ED8B477" w14:textId="77777777" w:rsidR="00690820" w:rsidRDefault="00CB3E10">
      <w:pPr>
        <w:pStyle w:val="Teksttreci0"/>
        <w:shd w:val="clear" w:color="auto" w:fill="auto"/>
        <w:tabs>
          <w:tab w:val="left" w:pos="902"/>
        </w:tabs>
        <w:spacing w:after="480"/>
        <w:ind w:left="880" w:hanging="300"/>
      </w:pPr>
      <w:r>
        <w:t>3 .</w:t>
      </w:r>
      <w:r>
        <w:tab/>
        <w:t>Władze weterynaryjne w Polsce są zobowiązane do przedkładania BAI rocznego raportu dotyczącego sytuacji w zakresie wysoce zjadliwej grypy ptaków (HPAI), w tym nadzoru, monitorowania i środków kontroli. Raport ten zapewnia, że BAI jest informowana o statusie HPAI i wszelkich zmianach, które mogą wymagać modyfikacji ustanowionej dwustronnej umowy z Filipinami dotyczącej regionalizacji w zakresie HPAI .</w:t>
      </w:r>
    </w:p>
    <w:p w14:paraId="0A90262E" w14:textId="77777777" w:rsidR="00690820" w:rsidRDefault="00CB3E10">
      <w:pPr>
        <w:pStyle w:val="Nagwek10"/>
        <w:keepNext/>
        <w:keepLines/>
        <w:shd w:val="clear" w:color="auto" w:fill="auto"/>
        <w:tabs>
          <w:tab w:val="left" w:pos="533"/>
        </w:tabs>
        <w:spacing w:after="220"/>
        <w:ind w:left="0"/>
      </w:pPr>
      <w:r>
        <w:t>III.</w:t>
      </w:r>
      <w:r>
        <w:tab/>
        <w:t>Certyfikacja i poświadczenie zdrowia zwierząt</w:t>
      </w:r>
    </w:p>
    <w:p w14:paraId="57156A62" w14:textId="77777777" w:rsidR="00690820" w:rsidRDefault="00CB3E10">
      <w:pPr>
        <w:pStyle w:val="Teksttreci0"/>
        <w:shd w:val="clear" w:color="auto" w:fill="auto"/>
        <w:ind w:left="540" w:firstLine="40"/>
      </w:pPr>
      <w:r>
        <w:t xml:space="preserve">Oprócz wymogów wskazanych dla warunków przywozu każdej przesyłki, międzynarodowe świadectwo weterynaryjne wydane przez organ weterynaryjny kraju wywozu, w ramach uznanej regionalizacji w zakresie HPAI, musi zawierać następujące </w:t>
      </w:r>
      <w:r w:rsidRPr="00623D63">
        <w:rPr>
          <w:b/>
          <w:u w:val="single"/>
        </w:rPr>
        <w:t>dodatkowe</w:t>
      </w:r>
      <w:r>
        <w:rPr>
          <w:b/>
        </w:rPr>
        <w:t xml:space="preserve"> </w:t>
      </w:r>
      <w:r>
        <w:t>poświadczenia:</w:t>
      </w:r>
    </w:p>
    <w:p w14:paraId="6B9F09DD" w14:textId="77777777" w:rsidR="00690820" w:rsidRDefault="00CB3E10">
      <w:pPr>
        <w:pStyle w:val="Teksttreci0"/>
        <w:shd w:val="clear" w:color="auto" w:fill="auto"/>
        <w:tabs>
          <w:tab w:val="left" w:pos="902"/>
        </w:tabs>
        <w:spacing w:after="0"/>
        <w:ind w:left="880" w:hanging="300"/>
      </w:pPr>
      <w:r>
        <w:t>1 .</w:t>
      </w:r>
      <w:r>
        <w:tab/>
        <w:t>W przypadku wywozu żywego drobiu (innego niż pisklęta jednodniowe) obowiązują następujące wymogi:</w:t>
      </w:r>
    </w:p>
    <w:p w14:paraId="4F4A6270" w14:textId="77777777" w:rsidR="00690820" w:rsidRDefault="00CB3E10">
      <w:pPr>
        <w:pStyle w:val="Teksttreci0"/>
        <w:shd w:val="clear" w:color="auto" w:fill="auto"/>
        <w:tabs>
          <w:tab w:val="left" w:pos="1258"/>
        </w:tabs>
        <w:spacing w:after="0"/>
        <w:ind w:left="1200" w:hanging="280"/>
      </w:pPr>
      <w:r>
        <w:t>a.</w:t>
      </w:r>
      <w:r>
        <w:tab/>
        <w:t>W dniu wysyłki drób nie wykazywał klinicznych objawów grypy ptaków;</w:t>
      </w:r>
    </w:p>
    <w:p w14:paraId="73AF45F7" w14:textId="77777777" w:rsidR="00690820" w:rsidRDefault="00CB3E10">
      <w:pPr>
        <w:pStyle w:val="Teksttreci0"/>
        <w:shd w:val="clear" w:color="auto" w:fill="auto"/>
        <w:tabs>
          <w:tab w:val="left" w:pos="1258"/>
        </w:tabs>
        <w:spacing w:after="0"/>
        <w:ind w:left="1200" w:hanging="280"/>
      </w:pPr>
      <w:r>
        <w:t>b.</w:t>
      </w:r>
      <w:r>
        <w:tab/>
        <w:t>Drób pochodził z powiatu wolnego od wysoce zjadliwej grypy ptaków;</w:t>
      </w:r>
    </w:p>
    <w:p w14:paraId="261C086C" w14:textId="77777777" w:rsidR="00690820" w:rsidRDefault="00CB3E10">
      <w:pPr>
        <w:pStyle w:val="Teksttreci0"/>
        <w:shd w:val="clear" w:color="auto" w:fill="auto"/>
        <w:tabs>
          <w:tab w:val="left" w:pos="1258"/>
        </w:tabs>
        <w:spacing w:after="0"/>
        <w:ind w:left="1200" w:hanging="280"/>
      </w:pPr>
      <w:r>
        <w:t>c.</w:t>
      </w:r>
      <w:r>
        <w:tab/>
        <w:t>Drób pochodził ze stada, które było monitorowane pod kątem obecności wirusów grypy ptaków i uzyskało wynik ujemny;</w:t>
      </w:r>
    </w:p>
    <w:p w14:paraId="1C7BDC19" w14:textId="77777777" w:rsidR="00690820" w:rsidRDefault="00CB3E10">
      <w:pPr>
        <w:pStyle w:val="Teksttreci0"/>
        <w:shd w:val="clear" w:color="auto" w:fill="auto"/>
        <w:tabs>
          <w:tab w:val="left" w:pos="1258"/>
        </w:tabs>
        <w:spacing w:after="0"/>
        <w:ind w:left="1200" w:hanging="280"/>
      </w:pPr>
      <w:r>
        <w:t>d.</w:t>
      </w:r>
      <w:r>
        <w:tab/>
        <w:t>Żywy drób nie był transportowany przez obszary objęte ograniczeniami w związku z wysoce zjadliwą grypą ptaków;</w:t>
      </w:r>
    </w:p>
    <w:p w14:paraId="56B75BC9" w14:textId="77777777" w:rsidR="00690820" w:rsidRDefault="00CB3E10">
      <w:pPr>
        <w:pStyle w:val="Teksttreci0"/>
        <w:shd w:val="clear" w:color="auto" w:fill="auto"/>
        <w:tabs>
          <w:tab w:val="left" w:pos="1258"/>
        </w:tabs>
        <w:spacing w:after="0"/>
        <w:ind w:left="1200" w:hanging="280"/>
      </w:pPr>
      <w:r>
        <w:t>e.</w:t>
      </w:r>
      <w:r>
        <w:tab/>
        <w:t>Jeżeli żywy drób był przewożony przez obszary objęte ograniczeniami w związku z wysoce zjadliwą grypą ptaków, został umieszczony w określonych warunkach mających na celu ograniczenie ryzyka choroby, np. korzystał z dróg ekspresowych, kontenery były zaplombowane oficjalną plombą zgodnie z decyzją polskiego organu weterynaryjnego i mógł zostać wyładowany dopiero w punkcie wjazdu; ORAZ</w:t>
      </w:r>
    </w:p>
    <w:p w14:paraId="53490A68" w14:textId="77777777" w:rsidR="00690820" w:rsidRDefault="00CB3E10">
      <w:pPr>
        <w:pStyle w:val="Teksttreci0"/>
        <w:shd w:val="clear" w:color="auto" w:fill="auto"/>
        <w:tabs>
          <w:tab w:val="left" w:pos="1258"/>
        </w:tabs>
        <w:spacing w:after="220"/>
        <w:ind w:left="1200" w:hanging="280"/>
      </w:pPr>
      <w:r>
        <w:t>f.</w:t>
      </w:r>
      <w:r>
        <w:tab/>
        <w:t>Jeśli żywy drób został zaszczepiony przeciwko wirusom grypy ptaków, rodzaj użytej szczepionki i data szczepienia muszą być wskazane w międzynarodowym certyfikacie weterynaryjnym.</w:t>
      </w:r>
    </w:p>
    <w:p w14:paraId="34211033" w14:textId="77777777" w:rsidR="00690820" w:rsidRDefault="00CB3E10">
      <w:pPr>
        <w:pStyle w:val="Teksttreci0"/>
        <w:shd w:val="clear" w:color="auto" w:fill="auto"/>
        <w:tabs>
          <w:tab w:val="left" w:pos="902"/>
        </w:tabs>
        <w:spacing w:after="0" w:line="252" w:lineRule="auto"/>
        <w:ind w:left="880" w:hanging="300"/>
      </w:pPr>
      <w:r>
        <w:rPr>
          <w:b/>
          <w:bCs/>
        </w:rPr>
        <w:t>2.</w:t>
      </w:r>
      <w:r>
        <w:tab/>
        <w:t>W przypadku eksportu piskląt jednodniowych obowiązują następujące wymogi:</w:t>
      </w:r>
    </w:p>
    <w:p w14:paraId="737734E3" w14:textId="77777777" w:rsidR="00690820" w:rsidRDefault="00CB3E10">
      <w:pPr>
        <w:pStyle w:val="Teksttreci0"/>
        <w:shd w:val="clear" w:color="auto" w:fill="auto"/>
        <w:tabs>
          <w:tab w:val="left" w:pos="1258"/>
        </w:tabs>
        <w:spacing w:after="0" w:line="252" w:lineRule="auto"/>
        <w:ind w:left="1200" w:hanging="280"/>
      </w:pPr>
      <w:r>
        <w:t>a.</w:t>
      </w:r>
      <w:r>
        <w:tab/>
        <w:t>Pisklęta jednodniowe pochodziły z powiatu, w którym od momentu wyklucia znajdowała się strefa wolna od wysoce zjadliwej grypy ptaków;</w:t>
      </w:r>
    </w:p>
    <w:p w14:paraId="3F34E9CB" w14:textId="77777777" w:rsidR="00690820" w:rsidRDefault="00CB3E10">
      <w:pPr>
        <w:pStyle w:val="Teksttreci0"/>
        <w:shd w:val="clear" w:color="auto" w:fill="auto"/>
        <w:spacing w:after="0" w:line="252" w:lineRule="auto"/>
        <w:ind w:left="1380"/>
        <w:jc w:val="left"/>
      </w:pPr>
      <w:r>
        <w:t>I</w:t>
      </w:r>
    </w:p>
    <w:p w14:paraId="6BF9D800" w14:textId="77777777" w:rsidR="00690820" w:rsidRDefault="00CB3E10">
      <w:pPr>
        <w:pStyle w:val="Teksttreci0"/>
        <w:shd w:val="clear" w:color="auto" w:fill="auto"/>
        <w:tabs>
          <w:tab w:val="left" w:pos="1258"/>
        </w:tabs>
        <w:spacing w:after="0" w:line="252" w:lineRule="auto"/>
        <w:ind w:left="1200" w:hanging="280"/>
      </w:pPr>
      <w:r>
        <w:t>b.</w:t>
      </w:r>
      <w:r>
        <w:tab/>
        <w:t>Pisklęta jednodniowe pochodziły ze stad rodzicielskich, które były monitorowane pod kątem obecności wirusów grypy ptaków i w momencie zbierania jaj, z których wykluły się pisklęta jednodniowe, wyniki były ujemne;</w:t>
      </w:r>
    </w:p>
    <w:p w14:paraId="6AE06E3C" w14:textId="77777777" w:rsidR="00690820" w:rsidRDefault="00CB3E10">
      <w:pPr>
        <w:pStyle w:val="Teksttreci0"/>
        <w:shd w:val="clear" w:color="auto" w:fill="auto"/>
        <w:spacing w:after="0" w:line="252" w:lineRule="auto"/>
        <w:ind w:left="1380"/>
        <w:jc w:val="left"/>
      </w:pPr>
      <w:r>
        <w:t>LUB</w:t>
      </w:r>
    </w:p>
    <w:p w14:paraId="3EF1E5EA" w14:textId="77777777" w:rsidR="00690820" w:rsidRDefault="00CB3E10">
      <w:pPr>
        <w:pStyle w:val="Teksttreci0"/>
        <w:shd w:val="clear" w:color="auto" w:fill="auto"/>
        <w:tabs>
          <w:tab w:val="left" w:pos="1258"/>
        </w:tabs>
        <w:spacing w:after="120" w:line="252" w:lineRule="auto"/>
        <w:ind w:left="1200" w:hanging="280"/>
      </w:pPr>
      <w:r>
        <w:t>c.</w:t>
      </w:r>
      <w:r>
        <w:tab/>
        <w:t>Pisklęta jednodniowe, które wykluły się z jaj, których powierzchnie zostały odkażone zgodnie z zaleceniami Kodeksu Zdrowia Zwierząt Lądowych (TAHC) Światowej Organizacji Zdrowia Zwierząt (WOAH);</w:t>
      </w:r>
    </w:p>
    <w:p w14:paraId="610E0E0F" w14:textId="77777777" w:rsidR="00690820" w:rsidRDefault="00CB3E10">
      <w:pPr>
        <w:pStyle w:val="Teksttreci0"/>
        <w:shd w:val="clear" w:color="auto" w:fill="auto"/>
        <w:tabs>
          <w:tab w:val="left" w:pos="1677"/>
        </w:tabs>
        <w:spacing w:after="0"/>
        <w:ind w:left="1640" w:hanging="300"/>
      </w:pPr>
      <w:r>
        <w:lastRenderedPageBreak/>
        <w:t>d.</w:t>
      </w:r>
      <w:r>
        <w:tab/>
        <w:t>Pisklęta jednodniowe nie były transportowane przez obszary objęte ograniczeniami w zakresie wysoce zjadliwej grypy ptaków (HPAI);</w:t>
      </w:r>
    </w:p>
    <w:p w14:paraId="733E3D4C" w14:textId="5C1AA419" w:rsidR="00690820" w:rsidRDefault="00CB3E10">
      <w:pPr>
        <w:pStyle w:val="Teksttreci0"/>
        <w:shd w:val="clear" w:color="auto" w:fill="auto"/>
        <w:tabs>
          <w:tab w:val="left" w:pos="1677"/>
        </w:tabs>
        <w:spacing w:after="0"/>
        <w:ind w:left="1640" w:right="480" w:hanging="300"/>
      </w:pPr>
      <w:r>
        <w:t>e.</w:t>
      </w:r>
      <w:r>
        <w:tab/>
        <w:t>Jeżeli były przewożone przez obszary objęte ograniczeniami w związku z wysoce zjadliwą grypą ptaków, pisklęta jednodniowe zostały umieszczone w określonych warunkach mających na celu ograniczenie ryzyka choroby, np. korzystały z dróg ekspresowych, kontenery były zaplombowane oficjalną plombą zgodnie z decyzją polskiego organu weterynaryjnego i mogły zostać wyładowane dopiero w punkcie wjazdu; ORAZ</w:t>
      </w:r>
    </w:p>
    <w:p w14:paraId="35C2835F" w14:textId="77777777" w:rsidR="00690820" w:rsidRDefault="00CB3E10">
      <w:pPr>
        <w:pStyle w:val="Teksttreci0"/>
        <w:shd w:val="clear" w:color="auto" w:fill="auto"/>
        <w:tabs>
          <w:tab w:val="left" w:pos="1677"/>
        </w:tabs>
        <w:ind w:left="1640" w:right="480" w:hanging="300"/>
      </w:pPr>
      <w:r>
        <w:t>f.</w:t>
      </w:r>
      <w:r>
        <w:tab/>
        <w:t>Jeśli jednodniowe pisklęta lub stada rodzicielskie zostały zaszczepione przeciwko wirusom grypy ptaków, rodzaj użytej szczepionki i data szczepienia muszą być wskazane w międzynarodowym certyfikacie weterynaryjnym.</w:t>
      </w:r>
    </w:p>
    <w:p w14:paraId="0236A99C" w14:textId="77777777" w:rsidR="00690820" w:rsidRDefault="00CB3E10">
      <w:pPr>
        <w:pStyle w:val="Teksttreci0"/>
        <w:shd w:val="clear" w:color="auto" w:fill="auto"/>
        <w:tabs>
          <w:tab w:val="left" w:pos="1291"/>
        </w:tabs>
        <w:spacing w:after="0"/>
        <w:ind w:left="1300" w:right="440" w:hanging="340"/>
        <w:jc w:val="left"/>
      </w:pPr>
      <w:r>
        <w:t>3 .</w:t>
      </w:r>
      <w:r>
        <w:tab/>
        <w:t>W przypadku eksportu jaj wylęgowych kurcząt i indyków obowiązują następujące wymogi:</w:t>
      </w:r>
    </w:p>
    <w:p w14:paraId="06156DD6" w14:textId="77777777" w:rsidR="00690820" w:rsidRDefault="00CB3E10">
      <w:pPr>
        <w:pStyle w:val="Teksttreci0"/>
        <w:shd w:val="clear" w:color="auto" w:fill="auto"/>
        <w:tabs>
          <w:tab w:val="left" w:pos="1677"/>
        </w:tabs>
        <w:spacing w:after="0"/>
        <w:ind w:left="1640" w:hanging="300"/>
      </w:pPr>
      <w:r>
        <w:t>a.</w:t>
      </w:r>
      <w:r>
        <w:tab/>
        <w:t>Jaja wylęgowe pochodziły z powiatu wolnego od wysoce zjadliwej grypy ptaków;</w:t>
      </w:r>
    </w:p>
    <w:p w14:paraId="7F236C01" w14:textId="77777777" w:rsidR="00690820" w:rsidRDefault="00CB3E10">
      <w:pPr>
        <w:pStyle w:val="Teksttreci0"/>
        <w:shd w:val="clear" w:color="auto" w:fill="auto"/>
        <w:tabs>
          <w:tab w:val="left" w:pos="1677"/>
        </w:tabs>
        <w:spacing w:after="0"/>
        <w:ind w:left="1640" w:right="480" w:hanging="300"/>
      </w:pPr>
      <w:r>
        <w:t>b.</w:t>
      </w:r>
      <w:r>
        <w:tab/>
        <w:t>Jaja wylęgowe pochodziły ze stad rodzicielskich, które były monitorowane pod kątem obecności wirusów grypy ptaków i w momencie zbierania jaj wylęgowych wynik badania był ujemny;</w:t>
      </w:r>
    </w:p>
    <w:p w14:paraId="0CF35B37" w14:textId="77777777" w:rsidR="00690820" w:rsidRDefault="00CB3E10">
      <w:pPr>
        <w:pStyle w:val="Teksttreci0"/>
        <w:shd w:val="clear" w:color="auto" w:fill="auto"/>
        <w:spacing w:after="0"/>
        <w:ind w:left="1640" w:firstLine="20"/>
        <w:jc w:val="left"/>
      </w:pPr>
      <w:r>
        <w:t>LUB</w:t>
      </w:r>
    </w:p>
    <w:p w14:paraId="6EFF1715" w14:textId="77777777" w:rsidR="00690820" w:rsidRDefault="00CB3E10">
      <w:pPr>
        <w:pStyle w:val="Teksttreci0"/>
        <w:shd w:val="clear" w:color="auto" w:fill="auto"/>
        <w:tabs>
          <w:tab w:val="left" w:pos="1677"/>
        </w:tabs>
        <w:spacing w:after="0"/>
        <w:ind w:left="1640" w:right="480" w:hanging="300"/>
      </w:pPr>
      <w:r>
        <w:t>c.</w:t>
      </w:r>
      <w:r>
        <w:tab/>
        <w:t>Powierzchnie jaj wylęgowych zostały odkażone zgodnie z zaleceniami Kodeksu Zdrowia Zwierząt Lądowych (TAHC) Światowej Organizacji Zdrowia Zwierząt (WOAH);</w:t>
      </w:r>
    </w:p>
    <w:p w14:paraId="4B25731E" w14:textId="77777777" w:rsidR="00690820" w:rsidRDefault="00CB3E10">
      <w:pPr>
        <w:pStyle w:val="Teksttreci0"/>
        <w:shd w:val="clear" w:color="auto" w:fill="auto"/>
        <w:tabs>
          <w:tab w:val="left" w:pos="1677"/>
        </w:tabs>
        <w:spacing w:after="0"/>
        <w:ind w:left="1640" w:hanging="300"/>
      </w:pPr>
      <w:r>
        <w:t>d.</w:t>
      </w:r>
      <w:r>
        <w:tab/>
        <w:t>Jaja wylęgowe nie były przewożone przez obszary objęte ograniczeniami w zakresie wysoce zjadliwej grypy ptaków (HPAI);</w:t>
      </w:r>
    </w:p>
    <w:p w14:paraId="76BE34B7" w14:textId="77777777" w:rsidR="00690820" w:rsidRDefault="00CB3E10">
      <w:pPr>
        <w:pStyle w:val="Teksttreci0"/>
        <w:shd w:val="clear" w:color="auto" w:fill="auto"/>
        <w:tabs>
          <w:tab w:val="left" w:pos="1677"/>
        </w:tabs>
        <w:spacing w:after="0"/>
        <w:ind w:left="1640" w:right="480" w:hanging="300"/>
      </w:pPr>
      <w:r>
        <w:t>e.</w:t>
      </w:r>
      <w:r>
        <w:tab/>
        <w:t>Jeżeli były przewożone przez obszary objęte ograniczeniami w zakresie wysoce zjadliwej grypy ptaków, jaja wylęgowe zostały umieszczone w określonych warunkach mających na celu ograniczenie ryzyka choroby, np. korzystano z dróg ekspresowych, kontenery były zaplombowane oficjalną plombą zgodnie z decyzją polskiego organu weterynaryjnego i mogły zostać wyładowane dopiero w punkcie wjazdu; ORAZ</w:t>
      </w:r>
    </w:p>
    <w:p w14:paraId="79F9431E" w14:textId="77777777" w:rsidR="00690820" w:rsidRDefault="00CB3E10">
      <w:pPr>
        <w:pStyle w:val="Teksttreci0"/>
        <w:shd w:val="clear" w:color="auto" w:fill="auto"/>
        <w:tabs>
          <w:tab w:val="left" w:pos="1677"/>
        </w:tabs>
        <w:spacing w:after="220"/>
        <w:ind w:left="1640" w:right="480" w:hanging="300"/>
      </w:pPr>
      <w:r>
        <w:t>f.</w:t>
      </w:r>
      <w:r>
        <w:tab/>
        <w:t>Jeśli stada rodzicielskie zostały zaszczepione przeciwko wirusom grypy ptaków, rodzaj użytej szczepionki i data szczepienia muszą być wskazane w międzynarodowym certyfikacie weterynaryjnym.</w:t>
      </w:r>
    </w:p>
    <w:p w14:paraId="6A90D2CD" w14:textId="77777777" w:rsidR="00690820" w:rsidRDefault="00CB3E10">
      <w:pPr>
        <w:pStyle w:val="Teksttreci0"/>
        <w:shd w:val="clear" w:color="auto" w:fill="auto"/>
        <w:spacing w:after="0"/>
        <w:ind w:left="940" w:firstLine="20"/>
      </w:pPr>
      <w:r>
        <w:t>4. W przypadku eksportu mięsa drobiowego obowiązują następujące wymogi:</w:t>
      </w:r>
    </w:p>
    <w:p w14:paraId="50F3FAE2" w14:textId="77777777" w:rsidR="00690820" w:rsidRDefault="00CB3E10">
      <w:pPr>
        <w:pStyle w:val="Teksttreci0"/>
        <w:shd w:val="clear" w:color="auto" w:fill="auto"/>
        <w:tabs>
          <w:tab w:val="left" w:pos="1677"/>
        </w:tabs>
        <w:spacing w:after="0"/>
        <w:ind w:left="1640" w:right="480" w:hanging="300"/>
      </w:pPr>
      <w:r>
        <w:t>a.</w:t>
      </w:r>
      <w:r>
        <w:tab/>
        <w:t>Cała partia świeżego mięsa pochodzi od drobiu, który pochodzi z powiatu wolnego od wysoce zjadliwej grypy ptaków i został przetransportowany do zakładów uboju drobiu wyłącznie przez strefy wolne od tej choroby LUB jeśli przechodzi przez strefy objęte zakażeniem przed przewiezieniem do rzeźni, należy użyć odpowiednich pojazdów z uwzględnieniem zdrowia zwierząt, które nie pozwalają na zanieczyszczenie patogenami chorób zakaźnych drobiu podczas transportu. Ponadto właściwy organ w Polsce musi zapewnić, że drób został bezpośrednio wysłany z miejsca pochodzenia do ubojni w pojeździe, który nie był otwierany po drodze.</w:t>
      </w:r>
    </w:p>
    <w:p w14:paraId="3AEC85F8" w14:textId="77777777" w:rsidR="00690820" w:rsidRDefault="00CB3E10">
      <w:pPr>
        <w:pStyle w:val="Teksttreci0"/>
        <w:shd w:val="clear" w:color="auto" w:fill="auto"/>
        <w:tabs>
          <w:tab w:val="left" w:pos="1677"/>
        </w:tabs>
        <w:ind w:left="1640" w:right="480" w:hanging="300"/>
      </w:pPr>
      <w:r>
        <w:t>b.</w:t>
      </w:r>
      <w:r>
        <w:tab/>
        <w:t>Cała partia świeżego mięsa została poddana ubojowi w zatwierdzonej (przez władze weterynaryjne) rzeźni / ubojni z powiatu wolnego od wysoce zjadliwej grypy ptaków i została poddana badaniu przed- i poubojowemu, z korzystnymi wynikami, zgodnie z zaleceniami Kodeksu Zdrowia Zwierząt Lądowych (TAHC) Światowej Organizacji Zdrowia Zwierząt (WOAH).</w:t>
      </w:r>
    </w:p>
    <w:p w14:paraId="1EDC5B14" w14:textId="77777777" w:rsidR="00690820" w:rsidRDefault="00CB3E10">
      <w:pPr>
        <w:pStyle w:val="Nagwek10"/>
        <w:keepNext/>
        <w:keepLines/>
        <w:shd w:val="clear" w:color="auto" w:fill="auto"/>
        <w:tabs>
          <w:tab w:val="left" w:pos="796"/>
        </w:tabs>
        <w:ind w:left="440"/>
      </w:pPr>
      <w:r>
        <w:t>IV.</w:t>
      </w:r>
      <w:r>
        <w:tab/>
        <w:t>Ocena, odpowiedzialność i rozstrzyganie sporów</w:t>
      </w:r>
    </w:p>
    <w:p w14:paraId="069EDBE5" w14:textId="77777777" w:rsidR="00690820" w:rsidRDefault="00CB3E10">
      <w:pPr>
        <w:pStyle w:val="Teksttreci0"/>
        <w:shd w:val="clear" w:color="auto" w:fill="auto"/>
        <w:spacing w:after="220"/>
        <w:ind w:left="940" w:right="480" w:firstLine="20"/>
      </w:pPr>
      <w:r>
        <w:t>Ocena wdrożenia obecnego dwustronnego uznania regionalizacji w zakresie wysoce zjadliwej grypy ptaków (HPAI) w odniesieniu do drobiu i mięsa drobiowego, które mają być wywożone z Polski na Filipiny, będzie dokonywana regularnie, ale nie rzadziej niż co dwa (2) lata, w celu ustalenia, czy obecne porozumienie w sprawie regionalizacji w zakresie wysoce zjadliwej grypy ptaków (HPAI) jest zadowalające i korzystne.</w:t>
      </w:r>
    </w:p>
    <w:p w14:paraId="18576F4F" w14:textId="77777777" w:rsidR="00623D63" w:rsidRDefault="00CB3E10" w:rsidP="00623D63">
      <w:pPr>
        <w:pStyle w:val="Teksttreci0"/>
        <w:shd w:val="clear" w:color="auto" w:fill="auto"/>
        <w:spacing w:after="0"/>
        <w:ind w:left="940" w:right="480" w:firstLine="20"/>
      </w:pPr>
      <w:r>
        <w:t xml:space="preserve">Kraje zawierające umowę o regionalizacji w zakresie wysoce zjadliwej grypy ptaków nie </w:t>
      </w:r>
      <w:r>
        <w:lastRenderedPageBreak/>
        <w:t>ponoszą wzajemnej odpowiedzialności za bezpośrednie, pośrednie, szczególne, przypadkowe lub wtórne szkody, które są w jakikolwiek sposób związane z jakimikolwiek działaniami podjętymi w ramach umowy. Kraje zobowiązują się wzajemnie do zabezpieczenia, zwolnienia z odpowiedzialności i obrony przed wszelkimi roszczeniami, zobowiązaniami, kosztami, szkodami i/lub wydatkami osób trzecich wszelkiego rodzaju wynikającymi lub związanymi z działaniami podejmowanymi na podstawie umowy.</w:t>
      </w:r>
    </w:p>
    <w:p w14:paraId="14F2B7EA" w14:textId="77777777" w:rsidR="00623D63" w:rsidRDefault="00623D63" w:rsidP="00623D63">
      <w:pPr>
        <w:pStyle w:val="Teksttreci0"/>
        <w:shd w:val="clear" w:color="auto" w:fill="auto"/>
        <w:spacing w:after="0"/>
        <w:ind w:left="940" w:right="480" w:firstLine="20"/>
      </w:pPr>
    </w:p>
    <w:p w14:paraId="1546CB14" w14:textId="6D55F05B" w:rsidR="00690820" w:rsidRDefault="00CB3E10" w:rsidP="00623D63">
      <w:pPr>
        <w:pStyle w:val="Teksttreci0"/>
        <w:shd w:val="clear" w:color="auto" w:fill="auto"/>
        <w:spacing w:after="0"/>
        <w:ind w:left="940" w:right="480" w:firstLine="20"/>
      </w:pPr>
      <w:r>
        <w:t>Wszelkie spory dotyczące interpretacji lub stosowania porozumienia w sprawie regionalizacji w zakresie wysoce zjadliwej grypy ptaków będą rozstrzygane polubownie w drodze bezpośrednich konsultacji lub negocjacji między oboma państwami. Podjęta zostanie próba rozwiązania wszelkich rozbieżności zgodnie z nieformalną procedurą Światowej Organizacji Zdrowia Zwierząt (WOAH) dotyczącą mediacji w sporach.</w:t>
      </w:r>
    </w:p>
    <w:p w14:paraId="4212A921" w14:textId="77777777" w:rsidR="00623D63" w:rsidRDefault="00623D63" w:rsidP="00623D63">
      <w:pPr>
        <w:pStyle w:val="Teksttreci0"/>
        <w:shd w:val="clear" w:color="auto" w:fill="auto"/>
        <w:spacing w:after="0"/>
        <w:ind w:left="940" w:right="480" w:firstLine="20"/>
      </w:pPr>
    </w:p>
    <w:p w14:paraId="57E98898" w14:textId="77777777" w:rsidR="00690820" w:rsidRDefault="00CB3E10">
      <w:pPr>
        <w:pStyle w:val="Nagwek10"/>
        <w:keepNext/>
        <w:keepLines/>
        <w:shd w:val="clear" w:color="auto" w:fill="auto"/>
        <w:tabs>
          <w:tab w:val="left" w:pos="809"/>
        </w:tabs>
        <w:spacing w:line="252" w:lineRule="auto"/>
        <w:ind w:left="520"/>
      </w:pPr>
      <w:r>
        <w:t>V.</w:t>
      </w:r>
      <w:r>
        <w:tab/>
        <w:t>Postanowienia końcowe</w:t>
      </w:r>
    </w:p>
    <w:p w14:paraId="352A1040" w14:textId="77777777" w:rsidR="00690820" w:rsidRDefault="00CB3E10">
      <w:pPr>
        <w:pStyle w:val="Teksttreci0"/>
        <w:shd w:val="clear" w:color="auto" w:fill="auto"/>
        <w:tabs>
          <w:tab w:val="left" w:pos="1382"/>
        </w:tabs>
        <w:spacing w:line="252" w:lineRule="auto"/>
        <w:ind w:left="1340" w:right="280" w:hanging="300"/>
      </w:pPr>
      <w:r>
        <w:t>1 .</w:t>
      </w:r>
      <w:r>
        <w:tab/>
        <w:t>Niniejsza umowa wejdzie w życie w dniu potwierdzenia przez oba kraje uzgodnionych warunków importu odnośnie regionalizacji w zakresie wysoce zjadliwej grypy ptaków (HPAI).</w:t>
      </w:r>
    </w:p>
    <w:p w14:paraId="29BE49B5" w14:textId="77777777" w:rsidR="00690820" w:rsidRDefault="00CB3E10">
      <w:pPr>
        <w:pStyle w:val="Teksttreci0"/>
        <w:shd w:val="clear" w:color="auto" w:fill="auto"/>
        <w:tabs>
          <w:tab w:val="left" w:pos="1382"/>
        </w:tabs>
        <w:spacing w:line="254" w:lineRule="auto"/>
        <w:ind w:left="1340" w:right="280" w:hanging="300"/>
      </w:pPr>
      <w:r>
        <w:rPr>
          <w:b/>
          <w:bCs/>
        </w:rPr>
        <w:t>2.</w:t>
      </w:r>
      <w:r>
        <w:tab/>
        <w:t>Porozumienie w sprawie regionalizacji w zakresie wysoce zjadliwej grypy ptaków może zostać zmienione za obopólną zgodą wyrażoną na piśmie w każdej chwili zgodnie z odpowiednimi wymogami ustawowymi poszczególnych krajów.</w:t>
      </w:r>
    </w:p>
    <w:p w14:paraId="041E7229" w14:textId="77777777" w:rsidR="00690820" w:rsidRDefault="00CB3E10">
      <w:pPr>
        <w:pStyle w:val="Teksttreci0"/>
        <w:shd w:val="clear" w:color="auto" w:fill="auto"/>
        <w:tabs>
          <w:tab w:val="left" w:pos="1382"/>
        </w:tabs>
        <w:spacing w:line="252" w:lineRule="auto"/>
        <w:ind w:left="1340" w:right="280" w:hanging="300"/>
      </w:pPr>
      <w:r>
        <w:t>3 .</w:t>
      </w:r>
      <w:r>
        <w:tab/>
        <w:t>Każdy z krajów może wypowiedzieć niniejszą umowę poprzez złożenie pisemnego wypowiedzenia oficjalnym służbom weterynaryjnym drugiego kraju. Wypowiedzenie staje się skuteczne trzy miesiące po dostarczeniu go do kraju przyjmującego, chyba że oba kraje uzgodnią inaczej na piśmie.</w:t>
      </w:r>
    </w:p>
    <w:p w14:paraId="1F0E345C" w14:textId="77777777" w:rsidR="00690820" w:rsidRDefault="00CB3E10">
      <w:pPr>
        <w:pStyle w:val="Teksttreci0"/>
        <w:shd w:val="clear" w:color="auto" w:fill="auto"/>
        <w:tabs>
          <w:tab w:val="left" w:pos="1382"/>
        </w:tabs>
        <w:spacing w:after="540" w:line="252" w:lineRule="auto"/>
        <w:ind w:left="1340" w:right="280" w:hanging="300"/>
      </w:pPr>
      <w:r>
        <w:t>4.</w:t>
      </w:r>
      <w:r>
        <w:tab/>
        <w:t>W przypadku jakiegokolwiek naruszenia zobowiązań dotyczących wymiany danych, o których mowa w niniejszej umowie (takich jak między innymi naruszenia w zakresie weterynaryjnych świadectw zdrowia, obawy dotyczące bezpieczeństwa żywności i niezgłoszenie istniejących przypadków wysoce zjadliwej grypy ptaków), Filipiny zastrzegają sobie prawo do rozwiązania umowy w każdej chwili bez wcześniejszego powiadomienia i ze skutkiem natychmiastowym.</w:t>
      </w:r>
    </w:p>
    <w:tbl>
      <w:tblPr>
        <w:tblOverlap w:val="never"/>
        <w:tblW w:w="0" w:type="auto"/>
        <w:jc w:val="center"/>
        <w:tblLayout w:type="fixed"/>
        <w:tblCellMar>
          <w:left w:w="10" w:type="dxa"/>
          <w:right w:w="10" w:type="dxa"/>
        </w:tblCellMar>
        <w:tblLook w:val="0000" w:firstRow="0" w:lastRow="0" w:firstColumn="0" w:lastColumn="0" w:noHBand="0" w:noVBand="0"/>
      </w:tblPr>
      <w:tblGrid>
        <w:gridCol w:w="4010"/>
        <w:gridCol w:w="1613"/>
        <w:gridCol w:w="3847"/>
      </w:tblGrid>
      <w:tr w:rsidR="00690820" w14:paraId="54DD29B0" w14:textId="77777777">
        <w:trPr>
          <w:trHeight w:hRule="exact" w:val="1373"/>
          <w:jc w:val="center"/>
        </w:trPr>
        <w:tc>
          <w:tcPr>
            <w:tcW w:w="5623" w:type="dxa"/>
            <w:gridSpan w:val="2"/>
            <w:shd w:val="clear" w:color="auto" w:fill="FFFFFF"/>
          </w:tcPr>
          <w:p w14:paraId="7EFB805D" w14:textId="77777777" w:rsidR="00690820" w:rsidRDefault="00CB3E10">
            <w:pPr>
              <w:rPr>
                <w:sz w:val="2"/>
                <w:szCs w:val="2"/>
              </w:rPr>
            </w:pPr>
            <w:r>
              <w:rPr>
                <w:noProof/>
              </w:rPr>
              <w:drawing>
                <wp:inline distT="0" distB="0" distL="0" distR="0" wp14:anchorId="7005B0DE" wp14:editId="255F36BA">
                  <wp:extent cx="3572510" cy="871855"/>
                  <wp:effectExtent l="0" t="0" r="0" b="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stretch/>
                        </pic:blipFill>
                        <pic:spPr>
                          <a:xfrm>
                            <a:off x="0" y="0"/>
                            <a:ext cx="3572510" cy="871855"/>
                          </a:xfrm>
                          <a:prstGeom prst="rect">
                            <a:avLst/>
                          </a:prstGeom>
                        </pic:spPr>
                      </pic:pic>
                    </a:graphicData>
                  </a:graphic>
                </wp:inline>
              </w:drawing>
            </w:r>
          </w:p>
        </w:tc>
        <w:tc>
          <w:tcPr>
            <w:tcW w:w="3847" w:type="dxa"/>
            <w:shd w:val="clear" w:color="auto" w:fill="FFFFFF"/>
          </w:tcPr>
          <w:p w14:paraId="117872EA" w14:textId="77777777" w:rsidR="00690820" w:rsidRDefault="00CB3E10">
            <w:pPr>
              <w:rPr>
                <w:sz w:val="2"/>
                <w:szCs w:val="2"/>
              </w:rPr>
            </w:pPr>
            <w:r>
              <w:rPr>
                <w:noProof/>
              </w:rPr>
              <w:drawing>
                <wp:inline distT="0" distB="0" distL="0" distR="0" wp14:anchorId="50C33DA2" wp14:editId="6D20554D">
                  <wp:extent cx="2444750" cy="871855"/>
                  <wp:effectExtent l="0" t="0" r="0" b="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pic:blipFill>
                        <pic:spPr>
                          <a:xfrm>
                            <a:off x="0" y="0"/>
                            <a:ext cx="2444750" cy="871855"/>
                          </a:xfrm>
                          <a:prstGeom prst="rect">
                            <a:avLst/>
                          </a:prstGeom>
                        </pic:spPr>
                      </pic:pic>
                    </a:graphicData>
                  </a:graphic>
                </wp:inline>
              </w:drawing>
            </w:r>
          </w:p>
        </w:tc>
      </w:tr>
      <w:tr w:rsidR="00690820" w14:paraId="6BE54E50" w14:textId="77777777">
        <w:trPr>
          <w:trHeight w:hRule="exact" w:val="557"/>
          <w:jc w:val="center"/>
        </w:trPr>
        <w:tc>
          <w:tcPr>
            <w:tcW w:w="4010" w:type="dxa"/>
            <w:tcBorders>
              <w:top w:val="single" w:sz="4" w:space="0" w:color="auto"/>
            </w:tcBorders>
            <w:shd w:val="clear" w:color="auto" w:fill="FFFFFF"/>
            <w:vAlign w:val="bottom"/>
          </w:tcPr>
          <w:p w14:paraId="439524FF" w14:textId="0873503E" w:rsidR="00690820" w:rsidRDefault="00CB3E10">
            <w:pPr>
              <w:pStyle w:val="Inne0"/>
              <w:shd w:val="clear" w:color="auto" w:fill="auto"/>
              <w:tabs>
                <w:tab w:val="left" w:pos="1338"/>
              </w:tabs>
              <w:spacing w:after="0" w:line="254" w:lineRule="auto"/>
              <w:ind w:left="640" w:firstLine="100"/>
              <w:jc w:val="left"/>
            </w:pPr>
            <w:r>
              <w:t xml:space="preserve">/Główny Lekarz Weterynarii - Polska / </w:t>
            </w:r>
            <w:r>
              <w:rPr>
                <w:i/>
              </w:rPr>
              <w:t xml:space="preserve">Podpis i pieczęć </w:t>
            </w:r>
            <w:r>
              <w:rPr>
                <w:i/>
                <w:color w:val="1B4780"/>
              </w:rPr>
              <w:t>/</w:t>
            </w:r>
          </w:p>
        </w:tc>
        <w:tc>
          <w:tcPr>
            <w:tcW w:w="1613" w:type="dxa"/>
            <w:shd w:val="clear" w:color="auto" w:fill="FFFFFF"/>
          </w:tcPr>
          <w:p w14:paraId="4BB91F3B" w14:textId="77777777" w:rsidR="00690820" w:rsidRDefault="00690820">
            <w:pPr>
              <w:rPr>
                <w:sz w:val="10"/>
                <w:szCs w:val="10"/>
              </w:rPr>
            </w:pPr>
          </w:p>
        </w:tc>
        <w:tc>
          <w:tcPr>
            <w:tcW w:w="3847" w:type="dxa"/>
            <w:tcBorders>
              <w:top w:val="single" w:sz="4" w:space="0" w:color="auto"/>
            </w:tcBorders>
            <w:shd w:val="clear" w:color="auto" w:fill="FFFFFF"/>
            <w:vAlign w:val="bottom"/>
          </w:tcPr>
          <w:p w14:paraId="17EFF70C" w14:textId="29D96D5D" w:rsidR="00690820" w:rsidRDefault="00CB3E10">
            <w:pPr>
              <w:pStyle w:val="Inne0"/>
              <w:shd w:val="clear" w:color="auto" w:fill="auto"/>
              <w:spacing w:after="0" w:line="252" w:lineRule="auto"/>
              <w:ind w:left="920" w:hanging="920"/>
              <w:jc w:val="left"/>
            </w:pPr>
            <w:r>
              <w:t xml:space="preserve">Główny Lekarz Weterynarii - Filipiny / </w:t>
            </w:r>
            <w:r>
              <w:rPr>
                <w:i/>
              </w:rPr>
              <w:t>Podpis i pieczęć /</w:t>
            </w:r>
          </w:p>
        </w:tc>
      </w:tr>
      <w:tr w:rsidR="00690820" w14:paraId="5ECD0121" w14:textId="77777777">
        <w:trPr>
          <w:trHeight w:hRule="exact" w:val="917"/>
          <w:jc w:val="center"/>
        </w:trPr>
        <w:tc>
          <w:tcPr>
            <w:tcW w:w="4010" w:type="dxa"/>
            <w:shd w:val="clear" w:color="auto" w:fill="FFFFFF"/>
          </w:tcPr>
          <w:p w14:paraId="56FA53CA" w14:textId="77777777" w:rsidR="00690820" w:rsidRDefault="00CB3E10">
            <w:pPr>
              <w:rPr>
                <w:sz w:val="2"/>
                <w:szCs w:val="2"/>
              </w:rPr>
            </w:pPr>
            <w:r>
              <w:rPr>
                <w:noProof/>
              </w:rPr>
              <w:drawing>
                <wp:inline distT="0" distB="0" distL="0" distR="0" wp14:anchorId="0C7568EE" wp14:editId="0F4732FA">
                  <wp:extent cx="2548255" cy="585470"/>
                  <wp:effectExtent l="0" t="0" r="0" b="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stretch/>
                        </pic:blipFill>
                        <pic:spPr>
                          <a:xfrm>
                            <a:off x="0" y="0"/>
                            <a:ext cx="2548255" cy="585470"/>
                          </a:xfrm>
                          <a:prstGeom prst="rect">
                            <a:avLst/>
                          </a:prstGeom>
                        </pic:spPr>
                      </pic:pic>
                    </a:graphicData>
                  </a:graphic>
                </wp:inline>
              </w:drawing>
            </w:r>
          </w:p>
        </w:tc>
        <w:tc>
          <w:tcPr>
            <w:tcW w:w="1613" w:type="dxa"/>
            <w:shd w:val="clear" w:color="auto" w:fill="FFFFFF"/>
          </w:tcPr>
          <w:p w14:paraId="5C6D489E" w14:textId="77777777" w:rsidR="00690820" w:rsidRDefault="00690820">
            <w:pPr>
              <w:rPr>
                <w:sz w:val="10"/>
                <w:szCs w:val="10"/>
              </w:rPr>
            </w:pPr>
          </w:p>
        </w:tc>
        <w:tc>
          <w:tcPr>
            <w:tcW w:w="3847" w:type="dxa"/>
            <w:shd w:val="clear" w:color="auto" w:fill="FFFFFF"/>
            <w:vAlign w:val="bottom"/>
          </w:tcPr>
          <w:p w14:paraId="6787C63D" w14:textId="77777777" w:rsidR="00690820" w:rsidRDefault="00CB3E10">
            <w:pPr>
              <w:pStyle w:val="Inne0"/>
              <w:shd w:val="clear" w:color="auto" w:fill="auto"/>
              <w:spacing w:after="0"/>
              <w:jc w:val="center"/>
              <w:rPr>
                <w:sz w:val="26"/>
                <w:szCs w:val="26"/>
              </w:rPr>
            </w:pPr>
            <w:r>
              <w:rPr>
                <w:sz w:val="26"/>
              </w:rPr>
              <w:t>12  sierpnia 2025 r.</w:t>
            </w:r>
          </w:p>
        </w:tc>
      </w:tr>
      <w:tr w:rsidR="00690820" w14:paraId="354E8EAA" w14:textId="77777777">
        <w:trPr>
          <w:trHeight w:hRule="exact" w:val="806"/>
          <w:jc w:val="center"/>
        </w:trPr>
        <w:tc>
          <w:tcPr>
            <w:tcW w:w="4010" w:type="dxa"/>
            <w:tcBorders>
              <w:top w:val="single" w:sz="4" w:space="0" w:color="auto"/>
            </w:tcBorders>
            <w:shd w:val="clear" w:color="auto" w:fill="FFFFFF"/>
          </w:tcPr>
          <w:p w14:paraId="1E89BC92" w14:textId="77777777" w:rsidR="00CB3E10" w:rsidRDefault="00CB3E10" w:rsidP="00CB3E10">
            <w:pPr>
              <w:pStyle w:val="Inne0"/>
              <w:shd w:val="clear" w:color="auto" w:fill="auto"/>
              <w:spacing w:after="0" w:line="254" w:lineRule="auto"/>
              <w:ind w:left="1220" w:firstLine="180"/>
              <w:jc w:val="left"/>
            </w:pPr>
            <w:r>
              <w:t>Data podpisania</w:t>
            </w:r>
          </w:p>
          <w:p w14:paraId="1C867E0B" w14:textId="2513DF65" w:rsidR="00690820" w:rsidRDefault="00CB3E10" w:rsidP="00CB3E10">
            <w:pPr>
              <w:pStyle w:val="Inne0"/>
              <w:shd w:val="clear" w:color="auto" w:fill="auto"/>
              <w:spacing w:after="0"/>
              <w:ind w:right="280"/>
              <w:jc w:val="center"/>
            </w:pPr>
            <w:r>
              <w:t>(mm/</w:t>
            </w:r>
            <w:proofErr w:type="spellStart"/>
            <w:r>
              <w:t>dd</w:t>
            </w:r>
            <w:proofErr w:type="spellEnd"/>
            <w:r>
              <w:t>/</w:t>
            </w:r>
            <w:proofErr w:type="spellStart"/>
            <w:r>
              <w:t>rrrr</w:t>
            </w:r>
            <w:proofErr w:type="spellEnd"/>
            <w:r>
              <w:t>)</w:t>
            </w:r>
          </w:p>
        </w:tc>
        <w:tc>
          <w:tcPr>
            <w:tcW w:w="1613" w:type="dxa"/>
            <w:shd w:val="clear" w:color="auto" w:fill="FFFFFF"/>
          </w:tcPr>
          <w:p w14:paraId="6E9E30DA" w14:textId="77777777" w:rsidR="00690820" w:rsidRDefault="00690820">
            <w:pPr>
              <w:rPr>
                <w:sz w:val="10"/>
                <w:szCs w:val="10"/>
              </w:rPr>
            </w:pPr>
          </w:p>
        </w:tc>
        <w:tc>
          <w:tcPr>
            <w:tcW w:w="3847" w:type="dxa"/>
            <w:tcBorders>
              <w:top w:val="single" w:sz="4" w:space="0" w:color="auto"/>
            </w:tcBorders>
            <w:shd w:val="clear" w:color="auto" w:fill="FFFFFF"/>
          </w:tcPr>
          <w:p w14:paraId="1456B877" w14:textId="77777777" w:rsidR="00CB3E10" w:rsidRDefault="00CB3E10">
            <w:pPr>
              <w:pStyle w:val="Inne0"/>
              <w:shd w:val="clear" w:color="auto" w:fill="auto"/>
              <w:spacing w:after="0" w:line="254" w:lineRule="auto"/>
              <w:ind w:left="1220" w:firstLine="180"/>
              <w:jc w:val="left"/>
            </w:pPr>
            <w:r>
              <w:t>Data podpisania</w:t>
            </w:r>
          </w:p>
          <w:p w14:paraId="45C518A0" w14:textId="2041B8AE" w:rsidR="00690820" w:rsidRDefault="00CB3E10">
            <w:pPr>
              <w:pStyle w:val="Inne0"/>
              <w:shd w:val="clear" w:color="auto" w:fill="auto"/>
              <w:spacing w:after="0" w:line="254" w:lineRule="auto"/>
              <w:ind w:left="1220" w:firstLine="180"/>
              <w:jc w:val="left"/>
            </w:pPr>
            <w:r>
              <w:t>(mm/</w:t>
            </w:r>
            <w:proofErr w:type="spellStart"/>
            <w:r>
              <w:t>dd</w:t>
            </w:r>
            <w:proofErr w:type="spellEnd"/>
            <w:r>
              <w:t>/</w:t>
            </w:r>
            <w:proofErr w:type="spellStart"/>
            <w:r>
              <w:t>rrrr</w:t>
            </w:r>
            <w:proofErr w:type="spellEnd"/>
            <w:r>
              <w:t>)</w:t>
            </w:r>
          </w:p>
        </w:tc>
      </w:tr>
    </w:tbl>
    <w:p w14:paraId="21C3CFC0" w14:textId="77777777" w:rsidR="00690820" w:rsidRDefault="00690820">
      <w:pPr>
        <w:spacing w:line="14" w:lineRule="exact"/>
      </w:pPr>
    </w:p>
    <w:sectPr w:rsidR="00690820">
      <w:pgSz w:w="11900" w:h="16840"/>
      <w:pgMar w:top="1887" w:right="1193" w:bottom="1443" w:left="1237"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63782" w14:textId="77777777" w:rsidR="00CB3E10" w:rsidRDefault="00CB3E10">
      <w:r>
        <w:separator/>
      </w:r>
    </w:p>
  </w:endnote>
  <w:endnote w:type="continuationSeparator" w:id="0">
    <w:p w14:paraId="52F30B47" w14:textId="77777777" w:rsidR="00CB3E10" w:rsidRDefault="00CB3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Yu Gothic"/>
    <w:panose1 w:val="020B0604020202020204"/>
    <w:charset w:val="80"/>
    <w:family w:val="swiss"/>
    <w:pitch w:val="variable"/>
    <w:sig w:usb0="F7FFAEFF" w:usb1="F9DFFFFF" w:usb2="0000007F" w:usb3="00000000" w:csb0="003F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F7F49" w14:textId="77777777" w:rsidR="00690820" w:rsidRDefault="00690820"/>
  </w:footnote>
  <w:footnote w:type="continuationSeparator" w:id="0">
    <w:p w14:paraId="710039D7" w14:textId="77777777" w:rsidR="00690820" w:rsidRDefault="0069082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0820"/>
    <w:rsid w:val="0009697E"/>
    <w:rsid w:val="003C3F03"/>
    <w:rsid w:val="00623D63"/>
    <w:rsid w:val="00690820"/>
    <w:rsid w:val="00982EF9"/>
    <w:rsid w:val="00C55828"/>
    <w:rsid w:val="00CB3E1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E6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Unicode MS" w:eastAsia="Arial Unicode MS" w:hAnsi="Arial Unicode MS" w:cs="Arial Unicode MS"/>
        <w:sz w:val="24"/>
        <w:szCs w:val="24"/>
        <w:lang w:val="pl-PL"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
    <w:name w:val="Tekst treści_"/>
    <w:basedOn w:val="Domylnaczcionkaakapitu"/>
    <w:link w:val="Teksttreci0"/>
    <w:rPr>
      <w:rFonts w:ascii="Cambria" w:eastAsia="Cambria" w:hAnsi="Cambria" w:cs="Cambria"/>
      <w:b w:val="0"/>
      <w:bCs w:val="0"/>
      <w:i w:val="0"/>
      <w:iCs w:val="0"/>
      <w:smallCaps w:val="0"/>
      <w:strike w:val="0"/>
      <w:sz w:val="20"/>
      <w:szCs w:val="20"/>
      <w:u w:val="none"/>
    </w:rPr>
  </w:style>
  <w:style w:type="character" w:customStyle="1" w:styleId="Nagwek1">
    <w:name w:val="Nagłówek #1_"/>
    <w:basedOn w:val="Domylnaczcionkaakapitu"/>
    <w:link w:val="Nagwek10"/>
    <w:rPr>
      <w:rFonts w:ascii="Cambria" w:eastAsia="Cambria" w:hAnsi="Cambria" w:cs="Cambria"/>
      <w:b/>
      <w:bCs/>
      <w:i w:val="0"/>
      <w:iCs w:val="0"/>
      <w:smallCaps w:val="0"/>
      <w:strike w:val="0"/>
      <w:sz w:val="20"/>
      <w:szCs w:val="20"/>
      <w:u w:val="none"/>
    </w:rPr>
  </w:style>
  <w:style w:type="character" w:customStyle="1" w:styleId="Inne">
    <w:name w:val="Inne_"/>
    <w:basedOn w:val="Domylnaczcionkaakapitu"/>
    <w:link w:val="Inne0"/>
    <w:rPr>
      <w:rFonts w:ascii="Cambria" w:eastAsia="Cambria" w:hAnsi="Cambria" w:cs="Cambria"/>
      <w:b w:val="0"/>
      <w:bCs w:val="0"/>
      <w:i w:val="0"/>
      <w:iCs w:val="0"/>
      <w:smallCaps w:val="0"/>
      <w:strike w:val="0"/>
      <w:sz w:val="20"/>
      <w:szCs w:val="20"/>
      <w:u w:val="none"/>
    </w:rPr>
  </w:style>
  <w:style w:type="paragraph" w:customStyle="1" w:styleId="Teksttreci0">
    <w:name w:val="Tekst treści"/>
    <w:basedOn w:val="Normalny"/>
    <w:link w:val="Teksttreci"/>
    <w:pPr>
      <w:shd w:val="clear" w:color="auto" w:fill="FFFFFF"/>
      <w:spacing w:after="240"/>
      <w:jc w:val="both"/>
    </w:pPr>
    <w:rPr>
      <w:rFonts w:ascii="Cambria" w:eastAsia="Cambria" w:hAnsi="Cambria" w:cs="Cambria"/>
      <w:sz w:val="20"/>
      <w:szCs w:val="20"/>
    </w:rPr>
  </w:style>
  <w:style w:type="paragraph" w:customStyle="1" w:styleId="Nagwek10">
    <w:name w:val="Nagłówek #1"/>
    <w:basedOn w:val="Normalny"/>
    <w:link w:val="Nagwek1"/>
    <w:pPr>
      <w:shd w:val="clear" w:color="auto" w:fill="FFFFFF"/>
      <w:spacing w:after="240"/>
      <w:ind w:left="220"/>
      <w:jc w:val="both"/>
      <w:outlineLvl w:val="0"/>
    </w:pPr>
    <w:rPr>
      <w:rFonts w:ascii="Cambria" w:eastAsia="Cambria" w:hAnsi="Cambria" w:cs="Cambria"/>
      <w:b/>
      <w:bCs/>
      <w:sz w:val="20"/>
      <w:szCs w:val="20"/>
    </w:rPr>
  </w:style>
  <w:style w:type="paragraph" w:customStyle="1" w:styleId="Inne0">
    <w:name w:val="Inne"/>
    <w:basedOn w:val="Normalny"/>
    <w:link w:val="Inne"/>
    <w:pPr>
      <w:shd w:val="clear" w:color="auto" w:fill="FFFFFF"/>
      <w:spacing w:after="240"/>
      <w:jc w:val="both"/>
    </w:pPr>
    <w:rPr>
      <w:rFonts w:ascii="Cambria" w:eastAsia="Cambria" w:hAnsi="Cambria" w:cs="Cambria"/>
      <w:sz w:val="20"/>
      <w:szCs w:val="20"/>
    </w:rPr>
  </w:style>
  <w:style w:type="paragraph" w:styleId="Nagwek">
    <w:name w:val="header"/>
    <w:basedOn w:val="Normalny"/>
    <w:link w:val="NagwekZnak"/>
    <w:uiPriority w:val="99"/>
    <w:unhideWhenUsed/>
    <w:rsid w:val="0009697E"/>
    <w:pPr>
      <w:tabs>
        <w:tab w:val="center" w:pos="4536"/>
        <w:tab w:val="right" w:pos="9072"/>
      </w:tabs>
    </w:pPr>
  </w:style>
  <w:style w:type="character" w:customStyle="1" w:styleId="NagwekZnak">
    <w:name w:val="Nagłówek Znak"/>
    <w:basedOn w:val="Domylnaczcionkaakapitu"/>
    <w:link w:val="Nagwek"/>
    <w:uiPriority w:val="99"/>
    <w:rsid w:val="0009697E"/>
    <w:rPr>
      <w:color w:val="000000"/>
    </w:rPr>
  </w:style>
  <w:style w:type="paragraph" w:styleId="Stopka">
    <w:name w:val="footer"/>
    <w:basedOn w:val="Normalny"/>
    <w:link w:val="StopkaZnak"/>
    <w:uiPriority w:val="99"/>
    <w:unhideWhenUsed/>
    <w:rsid w:val="0009697E"/>
    <w:pPr>
      <w:tabs>
        <w:tab w:val="center" w:pos="4536"/>
        <w:tab w:val="right" w:pos="9072"/>
      </w:tabs>
    </w:pPr>
  </w:style>
  <w:style w:type="character" w:customStyle="1" w:styleId="StopkaZnak">
    <w:name w:val="Stopka Znak"/>
    <w:basedOn w:val="Domylnaczcionkaakapitu"/>
    <w:link w:val="Stopka"/>
    <w:uiPriority w:val="99"/>
    <w:rsid w:val="0009697E"/>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1682</Words>
  <Characters>10924</Characters>
  <Application>Microsoft Office Word</Application>
  <DocSecurity>0</DocSecurity>
  <Lines>190</Lines>
  <Paragraphs>66</Paragraphs>
  <ScaleCrop>false</ScaleCrop>
  <Company/>
  <LinksUpToDate>false</LinksUpToDate>
  <CharactersWithSpaces>12541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2025-09-19T07:47:00Z</dcterms:created>
  <dcterms:modified xsi:type="dcterms:W3CDTF">2025-09-19T07:47:00Z</dcterms:modified>
</cp:coreProperties>
</file>